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5288765" w14:textId="01298E3F" w:rsidR="0098390B" w:rsidRPr="00E33C46" w:rsidRDefault="0098390B" w:rsidP="00E33C46">
      <w:pPr>
        <w:spacing w:after="240"/>
        <w:jc w:val="both"/>
        <w:rPr>
          <w:rFonts w:ascii="Verdana" w:hAnsi="Verdana"/>
          <w:sz w:val="22"/>
          <w:szCs w:val="22"/>
        </w:rPr>
      </w:pPr>
      <w:r w:rsidRPr="00E33C46">
        <w:rPr>
          <w:rFonts w:ascii="Verdana" w:hAnsi="Verdana"/>
          <w:sz w:val="22"/>
          <w:szCs w:val="22"/>
        </w:rPr>
        <w:t>Bogotá, D. C.,</w:t>
      </w:r>
      <w:r w:rsidRPr="00E33C46">
        <w:rPr>
          <w:rFonts w:ascii="Verdana" w:hAnsi="Verdana"/>
          <w:sz w:val="22"/>
          <w:szCs w:val="22"/>
        </w:rPr>
        <w:t xml:space="preserve"> 27 de julio de 2026.</w:t>
      </w:r>
    </w:p>
    <w:p w14:paraId="45646E6A" w14:textId="77777777" w:rsidR="0098390B" w:rsidRPr="00E33C46" w:rsidRDefault="0098390B" w:rsidP="00E33C46">
      <w:pPr>
        <w:spacing w:after="240"/>
        <w:jc w:val="both"/>
        <w:rPr>
          <w:rFonts w:ascii="Verdana" w:hAnsi="Verdana"/>
          <w:sz w:val="22"/>
          <w:szCs w:val="22"/>
        </w:rPr>
      </w:pPr>
    </w:p>
    <w:p w14:paraId="4EDEEA9C" w14:textId="77777777" w:rsidR="0098390B" w:rsidRPr="00E33C46" w:rsidRDefault="0098390B" w:rsidP="00E33C46">
      <w:pPr>
        <w:jc w:val="both"/>
        <w:rPr>
          <w:rFonts w:ascii="Verdana" w:hAnsi="Verdana"/>
          <w:sz w:val="22"/>
          <w:szCs w:val="22"/>
        </w:rPr>
      </w:pPr>
      <w:r w:rsidRPr="00E33C46">
        <w:rPr>
          <w:rFonts w:ascii="Verdana" w:hAnsi="Verdana"/>
          <w:sz w:val="22"/>
          <w:szCs w:val="22"/>
        </w:rPr>
        <w:t>Señor</w:t>
      </w:r>
    </w:p>
    <w:p w14:paraId="58DB2FFF" w14:textId="77777777" w:rsidR="0098390B" w:rsidRPr="00E33C46" w:rsidRDefault="0098390B" w:rsidP="00E33C46">
      <w:pPr>
        <w:jc w:val="both"/>
        <w:rPr>
          <w:rFonts w:ascii="Verdana" w:hAnsi="Verdana"/>
          <w:sz w:val="22"/>
          <w:szCs w:val="22"/>
        </w:rPr>
      </w:pPr>
      <w:r w:rsidRPr="00E33C46">
        <w:rPr>
          <w:rFonts w:ascii="Verdana" w:hAnsi="Verdana"/>
          <w:b/>
          <w:sz w:val="22"/>
          <w:szCs w:val="22"/>
        </w:rPr>
        <w:t>FELIPE ANDRÉS CAAMAÑO CUADRO</w:t>
      </w:r>
    </w:p>
    <w:p w14:paraId="6BCD34DB" w14:textId="77777777" w:rsidR="0098390B" w:rsidRPr="00E33C46" w:rsidRDefault="0098390B" w:rsidP="00E33C46">
      <w:pPr>
        <w:jc w:val="both"/>
        <w:rPr>
          <w:rFonts w:ascii="Verdana" w:hAnsi="Verdana"/>
          <w:sz w:val="22"/>
          <w:szCs w:val="22"/>
        </w:rPr>
      </w:pPr>
      <w:r w:rsidRPr="00E33C46">
        <w:rPr>
          <w:rFonts w:ascii="Verdana" w:hAnsi="Verdana"/>
          <w:sz w:val="22"/>
          <w:szCs w:val="22"/>
        </w:rPr>
        <w:t>C. C. No. 1.064.793.622 de Chiriguaná, Cesar</w:t>
      </w:r>
    </w:p>
    <w:p w14:paraId="3A71B2FD" w14:textId="710005EC" w:rsidR="0098390B" w:rsidRPr="00E33C46" w:rsidRDefault="0098390B" w:rsidP="00E33C46">
      <w:pPr>
        <w:spacing w:after="200"/>
        <w:jc w:val="both"/>
        <w:rPr>
          <w:rFonts w:ascii="Verdana" w:hAnsi="Verdana"/>
          <w:sz w:val="22"/>
          <w:szCs w:val="22"/>
        </w:rPr>
      </w:pPr>
      <w:r w:rsidRPr="00E33C46">
        <w:rPr>
          <w:rFonts w:ascii="Verdana" w:hAnsi="Verdana"/>
          <w:sz w:val="22"/>
          <w:szCs w:val="22"/>
        </w:rPr>
        <w:t xml:space="preserve">Correo: </w:t>
      </w:r>
      <w:hyperlink r:id="rId5" w:history="1">
        <w:r w:rsidRPr="00E33C46">
          <w:rPr>
            <w:rStyle w:val="Hipervnculo"/>
            <w:rFonts w:ascii="Verdana" w:hAnsi="Verdana"/>
            <w:sz w:val="22"/>
            <w:szCs w:val="22"/>
          </w:rPr>
          <w:t>abogadosasociadosfc@gmail.</w:t>
        </w:r>
        <w:r w:rsidRPr="00E33C46">
          <w:rPr>
            <w:rStyle w:val="Hipervnculo"/>
            <w:rFonts w:ascii="Verdana" w:hAnsi="Verdana"/>
            <w:sz w:val="22"/>
            <w:szCs w:val="22"/>
          </w:rPr>
          <w:t>c</w:t>
        </w:r>
        <w:r w:rsidRPr="00E33C46">
          <w:rPr>
            <w:rStyle w:val="Hipervnculo"/>
            <w:rFonts w:ascii="Verdana" w:hAnsi="Verdana"/>
            <w:sz w:val="22"/>
            <w:szCs w:val="22"/>
          </w:rPr>
          <w:t>om</w:t>
        </w:r>
      </w:hyperlink>
    </w:p>
    <w:p w14:paraId="6C13FB82" w14:textId="77777777" w:rsidR="0098390B" w:rsidRPr="00E33C46" w:rsidRDefault="0098390B" w:rsidP="00E33C46">
      <w:pPr>
        <w:spacing w:after="200"/>
        <w:jc w:val="both"/>
        <w:rPr>
          <w:rFonts w:ascii="Verdana" w:hAnsi="Verdana"/>
          <w:sz w:val="22"/>
          <w:szCs w:val="22"/>
        </w:rPr>
      </w:pPr>
    </w:p>
    <w:p w14:paraId="35C046C2" w14:textId="6C8CACED" w:rsidR="0098390B" w:rsidRPr="00E33C46" w:rsidRDefault="0098390B" w:rsidP="00E33C46">
      <w:pPr>
        <w:spacing w:after="80"/>
        <w:jc w:val="both"/>
        <w:rPr>
          <w:rFonts w:ascii="Verdana" w:hAnsi="Verdana"/>
          <w:sz w:val="22"/>
          <w:szCs w:val="22"/>
        </w:rPr>
      </w:pPr>
      <w:r w:rsidRPr="00E33C46">
        <w:rPr>
          <w:rFonts w:ascii="Verdana" w:hAnsi="Verdana"/>
          <w:b/>
          <w:sz w:val="22"/>
          <w:szCs w:val="22"/>
        </w:rPr>
        <w:t xml:space="preserve">Asunto: </w:t>
      </w:r>
      <w:r w:rsidRPr="00E33C46">
        <w:rPr>
          <w:rFonts w:ascii="Verdana" w:hAnsi="Verdana"/>
          <w:sz w:val="22"/>
          <w:szCs w:val="22"/>
        </w:rPr>
        <w:t>Respuesta de fondo a la comunicación titulada “Notificación formal del estado de gestación de mi compañera permanente, configuración del supuesto constitucional que activa el fuero de paternidad y solicitud de reconocimiento y aplicación de la garantía constitucional de estabilidad ocupacional reforzada, durante la ejecución del Contrato de Prestación de Servicios No. 557 de 2026”.</w:t>
      </w:r>
    </w:p>
    <w:p w14:paraId="17AB6823" w14:textId="77777777" w:rsidR="0098390B" w:rsidRPr="00E33C46" w:rsidRDefault="0098390B" w:rsidP="00E33C46">
      <w:pPr>
        <w:spacing w:after="80"/>
        <w:jc w:val="both"/>
        <w:rPr>
          <w:rFonts w:ascii="Verdana" w:hAnsi="Verdana"/>
          <w:sz w:val="22"/>
          <w:szCs w:val="22"/>
        </w:rPr>
      </w:pPr>
    </w:p>
    <w:p w14:paraId="4A1788E8" w14:textId="77777777" w:rsidR="0098390B" w:rsidRPr="00E33C46" w:rsidRDefault="0098390B" w:rsidP="00E33C46">
      <w:pPr>
        <w:spacing w:after="160"/>
        <w:jc w:val="both"/>
        <w:rPr>
          <w:rFonts w:ascii="Verdana" w:hAnsi="Verdana"/>
          <w:sz w:val="22"/>
          <w:szCs w:val="22"/>
        </w:rPr>
      </w:pPr>
      <w:r w:rsidRPr="00E33C46">
        <w:rPr>
          <w:rFonts w:ascii="Verdana" w:hAnsi="Verdana"/>
          <w:sz w:val="22"/>
          <w:szCs w:val="22"/>
        </w:rPr>
        <w:t>Respetado señor Caamaño Cuadro:</w:t>
      </w:r>
    </w:p>
    <w:p w14:paraId="03EC0740" w14:textId="65ED4B41" w:rsidR="0098390B" w:rsidRPr="00E33C46" w:rsidRDefault="0098390B" w:rsidP="00E33C46">
      <w:pPr>
        <w:jc w:val="both"/>
        <w:rPr>
          <w:rFonts w:ascii="Verdana" w:hAnsi="Verdana"/>
          <w:sz w:val="22"/>
          <w:szCs w:val="22"/>
        </w:rPr>
      </w:pPr>
      <w:r w:rsidRPr="00E33C46">
        <w:rPr>
          <w:rFonts w:ascii="Verdana" w:hAnsi="Verdana"/>
          <w:sz w:val="22"/>
          <w:szCs w:val="22"/>
        </w:rPr>
        <w:t xml:space="preserve">En atención a la comunicación presentada el 14 de julio de 2026, mediante la cual informa el estado de gestación de su compañera permanente y solicita que se reconozca, durante la ejecución del Contrato de Prestación de Servicios No. 557 de 2026, una garantía de estabilidad ocupacional reforzada derivada del denominado fuero de paternidad, el Ministerio del Interior se permite emitir respuesta completa, clara, congruente y de fondo, en los términos que </w:t>
      </w:r>
      <w:r w:rsidRPr="00E33C46">
        <w:rPr>
          <w:rFonts w:ascii="Verdana" w:hAnsi="Verdana"/>
          <w:sz w:val="22"/>
          <w:szCs w:val="22"/>
        </w:rPr>
        <w:t>a continuación se exponen:</w:t>
      </w:r>
    </w:p>
    <w:p w14:paraId="7C7F8E60" w14:textId="77777777" w:rsidR="0098390B" w:rsidRPr="00E33C46" w:rsidRDefault="0098390B" w:rsidP="00E33C46">
      <w:pPr>
        <w:jc w:val="both"/>
        <w:rPr>
          <w:rFonts w:ascii="Verdana" w:hAnsi="Verdana"/>
          <w:sz w:val="22"/>
          <w:szCs w:val="22"/>
        </w:rPr>
      </w:pPr>
    </w:p>
    <w:p w14:paraId="10DEC2FF" w14:textId="4485E7FE" w:rsidR="0098390B" w:rsidRPr="00E33C46" w:rsidRDefault="0098390B" w:rsidP="00E33C46">
      <w:pPr>
        <w:jc w:val="both"/>
        <w:rPr>
          <w:rFonts w:ascii="Verdana" w:hAnsi="Verdana"/>
          <w:sz w:val="22"/>
          <w:szCs w:val="22"/>
        </w:rPr>
      </w:pPr>
      <w:r w:rsidRPr="00E33C46">
        <w:rPr>
          <w:rFonts w:ascii="Verdana" w:hAnsi="Verdana"/>
          <w:sz w:val="22"/>
          <w:szCs w:val="22"/>
        </w:rPr>
        <w:t>La Entidad recibe y valora la información aportada con pleno respeto por la dignidad de su núcleo familiar, la protección constitucional de la mujer gestante, la prevalencia de los derechos de los niños y la corresponsabilidad parental. Es</w:t>
      </w:r>
      <w:r w:rsidRPr="00E33C46">
        <w:rPr>
          <w:rFonts w:ascii="Verdana" w:hAnsi="Verdana"/>
          <w:sz w:val="22"/>
          <w:szCs w:val="22"/>
        </w:rPr>
        <w:t>t</w:t>
      </w:r>
      <w:r w:rsidRPr="00E33C46">
        <w:rPr>
          <w:rFonts w:ascii="Verdana" w:hAnsi="Verdana"/>
          <w:sz w:val="22"/>
          <w:szCs w:val="22"/>
        </w:rPr>
        <w:t>e reconocimiento, sin embargo, debe armonizarse con la naturaleza jurídica del vínculo que usted mantiene con el Ministerio, con el alcance preciso de las normas y precedentes invocados y con los principios de legalidad, planeación, anualidad presupuestal, selección objetiva y responsabilidad que gobiernan la contratación estatal.</w:t>
      </w:r>
    </w:p>
    <w:p w14:paraId="3897BAE4" w14:textId="77777777" w:rsidR="0098390B" w:rsidRPr="00E33C46" w:rsidRDefault="0098390B" w:rsidP="00E33C46">
      <w:pPr>
        <w:jc w:val="both"/>
        <w:rPr>
          <w:rFonts w:ascii="Verdana" w:hAnsi="Verdana"/>
          <w:sz w:val="22"/>
          <w:szCs w:val="22"/>
        </w:rPr>
      </w:pPr>
    </w:p>
    <w:p w14:paraId="4AF306B3" w14:textId="77777777" w:rsidR="0098390B" w:rsidRPr="00E33C46" w:rsidRDefault="0098390B" w:rsidP="00E33C46">
      <w:pPr>
        <w:jc w:val="both"/>
        <w:rPr>
          <w:rFonts w:ascii="Verdana" w:hAnsi="Verdana"/>
          <w:sz w:val="22"/>
          <w:szCs w:val="22"/>
        </w:rPr>
      </w:pPr>
      <w:r w:rsidRPr="00E33C46">
        <w:rPr>
          <w:rFonts w:ascii="Verdana" w:hAnsi="Verdana"/>
          <w:sz w:val="22"/>
          <w:szCs w:val="22"/>
        </w:rPr>
        <w:t>El peticionario manifiesta encontrarse ejecutando el Contrato de Prestación de Servicios No. 557 de 2026, celebrado para apoyar jurídica y misionalmente a la Dirección de Asuntos para las Comunidades Negras, Afrocolombianas, Raizales y Palenqueras.</w:t>
      </w:r>
    </w:p>
    <w:p w14:paraId="1C17F468" w14:textId="77777777" w:rsidR="0098390B" w:rsidRPr="00E33C46" w:rsidRDefault="0098390B" w:rsidP="00E33C46">
      <w:pPr>
        <w:jc w:val="both"/>
        <w:rPr>
          <w:rFonts w:ascii="Verdana" w:hAnsi="Verdana"/>
          <w:sz w:val="22"/>
          <w:szCs w:val="22"/>
        </w:rPr>
      </w:pPr>
    </w:p>
    <w:p w14:paraId="7874C735" w14:textId="77777777" w:rsidR="0098390B" w:rsidRPr="00E33C46" w:rsidRDefault="0098390B" w:rsidP="00E33C46">
      <w:pPr>
        <w:jc w:val="both"/>
        <w:rPr>
          <w:rFonts w:ascii="Verdana" w:hAnsi="Verdana"/>
          <w:sz w:val="22"/>
          <w:szCs w:val="22"/>
        </w:rPr>
      </w:pPr>
      <w:r w:rsidRPr="00E33C46">
        <w:rPr>
          <w:rFonts w:ascii="Verdana" w:hAnsi="Verdana"/>
          <w:sz w:val="22"/>
          <w:szCs w:val="22"/>
        </w:rPr>
        <w:lastRenderedPageBreak/>
        <w:t>Se comunica que la señora María Camila Vélez Rojas, compañera permanente del contratista, se encuentra en estado de gestación. Para acreditarlo se aportan prueba de embarazo y ecografía obstétrica; asimismo, se anexan documentos relacionados con la conformación del núcleo familiar.</w:t>
      </w:r>
    </w:p>
    <w:p w14:paraId="4EE1FFDB" w14:textId="77777777" w:rsidR="0098390B" w:rsidRPr="00E33C46" w:rsidRDefault="0098390B" w:rsidP="00E33C46">
      <w:pPr>
        <w:jc w:val="both"/>
        <w:rPr>
          <w:rFonts w:ascii="Verdana" w:hAnsi="Verdana"/>
          <w:sz w:val="22"/>
          <w:szCs w:val="22"/>
        </w:rPr>
      </w:pPr>
    </w:p>
    <w:p w14:paraId="196C4F4E" w14:textId="330B2D9F" w:rsidR="0098390B" w:rsidRPr="00E33C46" w:rsidRDefault="0098390B" w:rsidP="00E33C46">
      <w:pPr>
        <w:jc w:val="both"/>
        <w:rPr>
          <w:rFonts w:ascii="Verdana" w:hAnsi="Verdana"/>
          <w:sz w:val="22"/>
          <w:szCs w:val="22"/>
        </w:rPr>
      </w:pPr>
      <w:r w:rsidRPr="00E33C46">
        <w:rPr>
          <w:rFonts w:ascii="Verdana" w:hAnsi="Verdana"/>
          <w:sz w:val="22"/>
          <w:szCs w:val="22"/>
        </w:rPr>
        <w:t>En esencia, s</w:t>
      </w:r>
      <w:r w:rsidRPr="00E33C46">
        <w:rPr>
          <w:rFonts w:ascii="Verdana" w:hAnsi="Verdana"/>
          <w:sz w:val="22"/>
          <w:szCs w:val="22"/>
        </w:rPr>
        <w:t xml:space="preserve">olicita lo siguiente: </w:t>
      </w:r>
      <w:r w:rsidRPr="00E33C46">
        <w:rPr>
          <w:rFonts w:ascii="Verdana" w:hAnsi="Verdana"/>
          <w:sz w:val="22"/>
          <w:szCs w:val="22"/>
        </w:rPr>
        <w:t>(i) incorporar la comunicación y sus anexos al expediente;</w:t>
      </w:r>
      <w:r w:rsidRPr="00E33C46">
        <w:rPr>
          <w:rFonts w:ascii="Verdana" w:hAnsi="Verdana"/>
          <w:sz w:val="22"/>
          <w:szCs w:val="22"/>
        </w:rPr>
        <w:t xml:space="preserve"> </w:t>
      </w:r>
      <w:r w:rsidRPr="00E33C46">
        <w:rPr>
          <w:rFonts w:ascii="Verdana" w:hAnsi="Verdana"/>
          <w:sz w:val="22"/>
          <w:szCs w:val="22"/>
        </w:rPr>
        <w:t>(</w:t>
      </w:r>
      <w:proofErr w:type="spellStart"/>
      <w:r w:rsidRPr="00E33C46">
        <w:rPr>
          <w:rFonts w:ascii="Verdana" w:hAnsi="Verdana"/>
          <w:sz w:val="22"/>
          <w:szCs w:val="22"/>
        </w:rPr>
        <w:t>ii</w:t>
      </w:r>
      <w:proofErr w:type="spellEnd"/>
      <w:r w:rsidRPr="00E33C46">
        <w:rPr>
          <w:rFonts w:ascii="Verdana" w:hAnsi="Verdana"/>
          <w:sz w:val="22"/>
          <w:szCs w:val="22"/>
        </w:rPr>
        <w:t>) reconocer y aplicar al contratista la estabilidad ocupacional reforzada por fuero de paternidad; (</w:t>
      </w:r>
      <w:proofErr w:type="spellStart"/>
      <w:r w:rsidRPr="00E33C46">
        <w:rPr>
          <w:rFonts w:ascii="Verdana" w:hAnsi="Verdana"/>
          <w:sz w:val="22"/>
          <w:szCs w:val="22"/>
        </w:rPr>
        <w:t>iii</w:t>
      </w:r>
      <w:proofErr w:type="spellEnd"/>
      <w:r w:rsidRPr="00E33C46">
        <w:rPr>
          <w:rFonts w:ascii="Verdana" w:hAnsi="Verdana"/>
          <w:sz w:val="22"/>
          <w:szCs w:val="22"/>
        </w:rPr>
        <w:t>) someter cualquier decisión sobre ejecución, continuidad, suspensión, prórroga, terminación o no renovación al precedente constitucional; y (</w:t>
      </w:r>
      <w:proofErr w:type="spellStart"/>
      <w:r w:rsidRPr="00E33C46">
        <w:rPr>
          <w:rFonts w:ascii="Verdana" w:hAnsi="Verdana"/>
          <w:sz w:val="22"/>
          <w:szCs w:val="22"/>
        </w:rPr>
        <w:t>iv</w:t>
      </w:r>
      <w:proofErr w:type="spellEnd"/>
      <w:r w:rsidRPr="00E33C46">
        <w:rPr>
          <w:rFonts w:ascii="Verdana" w:hAnsi="Verdana"/>
          <w:sz w:val="22"/>
          <w:szCs w:val="22"/>
        </w:rPr>
        <w:t>) valorar toda actuación contractual bajo los principios de buena fe, confianza legítima, corresponsabilidad parental y protección integral de la familia.</w:t>
      </w:r>
    </w:p>
    <w:p w14:paraId="4E5033A1" w14:textId="77777777" w:rsidR="0098390B" w:rsidRPr="00E33C46" w:rsidRDefault="0098390B" w:rsidP="00E33C46">
      <w:pPr>
        <w:jc w:val="both"/>
        <w:rPr>
          <w:rFonts w:ascii="Verdana" w:hAnsi="Verdana"/>
          <w:sz w:val="22"/>
          <w:szCs w:val="22"/>
        </w:rPr>
      </w:pPr>
    </w:p>
    <w:p w14:paraId="6E9B60CB" w14:textId="6688180F" w:rsidR="0098390B" w:rsidRPr="00E33C46" w:rsidRDefault="0098390B" w:rsidP="00E33C46">
      <w:pPr>
        <w:jc w:val="both"/>
        <w:rPr>
          <w:rFonts w:ascii="Verdana" w:hAnsi="Verdana"/>
          <w:sz w:val="22"/>
          <w:szCs w:val="22"/>
        </w:rPr>
      </w:pPr>
      <w:r w:rsidRPr="00E33C46">
        <w:rPr>
          <w:rFonts w:ascii="Verdana" w:hAnsi="Verdana"/>
          <w:sz w:val="22"/>
          <w:szCs w:val="22"/>
        </w:rPr>
        <w:t>La presente respuesta se circunscribe a esos planteamientos. No existe en la comunicación noticia de una decisión actual de terminación anticipada, suspensión, imposición de medida contractual, declaratoria de incumplimiento o no renovación adoptada por el Ministerio; por el contrario, el contrato se reporta vigente y en ejecución</w:t>
      </w:r>
      <w:r w:rsidRPr="00E33C46">
        <w:rPr>
          <w:rFonts w:ascii="Verdana" w:hAnsi="Verdana"/>
          <w:sz w:val="22"/>
          <w:szCs w:val="22"/>
        </w:rPr>
        <w:t>, por lo tanto</w:t>
      </w:r>
      <w:r w:rsidRPr="00E33C46">
        <w:rPr>
          <w:rFonts w:ascii="Verdana" w:hAnsi="Verdana"/>
          <w:sz w:val="22"/>
          <w:szCs w:val="22"/>
        </w:rPr>
        <w:t>, el análisis no parte de una afectación consumada, sino de una solicitud de reconocimiento preventivo y abstracto de una garantía con efectos hacia decisiones futuras.</w:t>
      </w:r>
    </w:p>
    <w:p w14:paraId="1215FBF4" w14:textId="77777777" w:rsidR="0098390B" w:rsidRPr="00E33C46" w:rsidRDefault="0098390B" w:rsidP="00E33C46">
      <w:pPr>
        <w:jc w:val="both"/>
        <w:rPr>
          <w:rFonts w:ascii="Verdana" w:hAnsi="Verdana"/>
          <w:sz w:val="22"/>
          <w:szCs w:val="22"/>
        </w:rPr>
      </w:pPr>
    </w:p>
    <w:p w14:paraId="59DD3CF6" w14:textId="77777777" w:rsidR="0098390B" w:rsidRPr="00E33C46" w:rsidRDefault="0098390B" w:rsidP="00E33C46">
      <w:pPr>
        <w:jc w:val="both"/>
        <w:rPr>
          <w:rFonts w:ascii="Verdana" w:hAnsi="Verdana"/>
          <w:sz w:val="22"/>
          <w:szCs w:val="22"/>
        </w:rPr>
      </w:pPr>
      <w:r w:rsidRPr="00E33C46">
        <w:rPr>
          <w:rFonts w:ascii="Verdana" w:hAnsi="Verdana"/>
          <w:sz w:val="22"/>
          <w:szCs w:val="22"/>
        </w:rPr>
        <w:t>Corresponde establecer si la sola notificación del embarazo de la compañera permanente de una persona vinculada mediante contrato estatal de prestación de servicios activa, de manera automática, el fuero de paternidad regulado en los artículos 239 y 240 del Código Sustantivo del Trabajo y, por esa vía, impone al Ministerio del Interior la obligación de prorrogar, renovar o mantener el Contrato No. 557 de 2026 por fuera del plazo, objeto, necesidad, disponibilidad presupuestal y demás condiciones que sustentaron su celebración.</w:t>
      </w:r>
    </w:p>
    <w:p w14:paraId="7D022A31" w14:textId="77777777" w:rsidR="0098390B" w:rsidRPr="00E33C46" w:rsidRDefault="0098390B" w:rsidP="00E33C46">
      <w:pPr>
        <w:jc w:val="both"/>
        <w:rPr>
          <w:rFonts w:ascii="Verdana" w:hAnsi="Verdana"/>
          <w:sz w:val="22"/>
          <w:szCs w:val="22"/>
        </w:rPr>
      </w:pPr>
    </w:p>
    <w:p w14:paraId="177894E4" w14:textId="6715A6F6" w:rsidR="0098390B" w:rsidRPr="00E33C46" w:rsidRDefault="0098390B" w:rsidP="00E33C46">
      <w:pPr>
        <w:jc w:val="both"/>
        <w:rPr>
          <w:rFonts w:ascii="Verdana" w:hAnsi="Verdana"/>
          <w:sz w:val="22"/>
          <w:szCs w:val="22"/>
        </w:rPr>
      </w:pPr>
      <w:r w:rsidRPr="00E33C46">
        <w:rPr>
          <w:rFonts w:ascii="Verdana" w:hAnsi="Verdana"/>
          <w:sz w:val="22"/>
          <w:szCs w:val="22"/>
        </w:rPr>
        <w:t xml:space="preserve">La respuesta </w:t>
      </w:r>
      <w:r w:rsidRPr="00E33C46">
        <w:rPr>
          <w:rFonts w:ascii="Verdana" w:hAnsi="Verdana"/>
          <w:sz w:val="22"/>
          <w:szCs w:val="22"/>
        </w:rPr>
        <w:t xml:space="preserve">desde ya </w:t>
      </w:r>
      <w:r w:rsidRPr="00E33C46">
        <w:rPr>
          <w:rFonts w:ascii="Verdana" w:hAnsi="Verdana"/>
          <w:sz w:val="22"/>
          <w:szCs w:val="22"/>
        </w:rPr>
        <w:t>es negativa</w:t>
      </w:r>
      <w:r w:rsidRPr="00E33C46">
        <w:rPr>
          <w:rFonts w:ascii="Verdana" w:hAnsi="Verdana"/>
          <w:sz w:val="22"/>
          <w:szCs w:val="22"/>
        </w:rPr>
        <w:t>, pues la</w:t>
      </w:r>
      <w:r w:rsidRPr="00E33C46">
        <w:rPr>
          <w:rFonts w:ascii="Verdana" w:hAnsi="Verdana"/>
          <w:sz w:val="22"/>
          <w:szCs w:val="22"/>
        </w:rPr>
        <w:t xml:space="preserve"> comunicación produce el efecto de acreditar que la Entidad conoce la circunstancia familiar informada y exige que cualquier actuación concreta se adopte sin discriminación y con respeto por la Constitución. No obstante, no transforma al contratista en trabajador dependiente, no convierte el contrato de prestación de servicios en una relación laboral, no activa por sí sola una obligación automática de continuidad y no genera un derecho adquirido a la prórroga, adición, renovación o celebración de un nuevo contrato.</w:t>
      </w:r>
    </w:p>
    <w:p w14:paraId="274820F9" w14:textId="77777777" w:rsidR="0098390B" w:rsidRPr="00E33C46" w:rsidRDefault="0098390B" w:rsidP="00E33C46">
      <w:pPr>
        <w:jc w:val="both"/>
        <w:rPr>
          <w:rFonts w:ascii="Verdana" w:hAnsi="Verdana"/>
          <w:sz w:val="22"/>
          <w:szCs w:val="22"/>
        </w:rPr>
      </w:pPr>
    </w:p>
    <w:p w14:paraId="1D12237E" w14:textId="63E02D86" w:rsidR="0098390B" w:rsidRPr="00E33C46" w:rsidRDefault="0098390B" w:rsidP="00E33C46">
      <w:pPr>
        <w:jc w:val="both"/>
        <w:rPr>
          <w:rFonts w:ascii="Verdana" w:hAnsi="Verdana"/>
          <w:sz w:val="22"/>
          <w:szCs w:val="22"/>
        </w:rPr>
      </w:pPr>
      <w:r w:rsidRPr="00E33C46">
        <w:rPr>
          <w:rFonts w:ascii="Verdana" w:hAnsi="Verdana"/>
          <w:sz w:val="22"/>
          <w:szCs w:val="22"/>
        </w:rPr>
        <w:t xml:space="preserve">Los artículos 5, 13, 42, 43 y 44 de la Constitución Política imponen a todas las autoridades el deber de proteger a la familia, asegurar igualdad material, brindar especial asistencia a la mujer durante el embarazo y garantizar la prevalencia </w:t>
      </w:r>
      <w:r w:rsidRPr="00E33C46">
        <w:rPr>
          <w:rFonts w:ascii="Verdana" w:hAnsi="Verdana"/>
          <w:sz w:val="22"/>
          <w:szCs w:val="22"/>
        </w:rPr>
        <w:lastRenderedPageBreak/>
        <w:t>de los derechos de los niños. Esta protección comprende a las familias constituidas por vínculos naturales o jurídicos y, por tanto, no depende de la existencia de matrimonio</w:t>
      </w:r>
      <w:r w:rsidRPr="00E33C46">
        <w:rPr>
          <w:rFonts w:ascii="Verdana" w:hAnsi="Verdana"/>
          <w:sz w:val="22"/>
          <w:szCs w:val="22"/>
        </w:rPr>
        <w:t>.</w:t>
      </w:r>
    </w:p>
    <w:p w14:paraId="5B53AC35" w14:textId="77777777" w:rsidR="0098390B" w:rsidRPr="00E33C46" w:rsidRDefault="0098390B" w:rsidP="00E33C46">
      <w:pPr>
        <w:jc w:val="both"/>
        <w:rPr>
          <w:rFonts w:ascii="Verdana" w:hAnsi="Verdana"/>
          <w:sz w:val="22"/>
          <w:szCs w:val="22"/>
        </w:rPr>
      </w:pPr>
    </w:p>
    <w:p w14:paraId="5BE84B0D" w14:textId="11F53E80" w:rsidR="0098390B" w:rsidRPr="00E33C46" w:rsidRDefault="0098390B" w:rsidP="00E33C46">
      <w:pPr>
        <w:jc w:val="both"/>
        <w:rPr>
          <w:rFonts w:ascii="Verdana" w:hAnsi="Verdana"/>
          <w:sz w:val="22"/>
          <w:szCs w:val="22"/>
        </w:rPr>
      </w:pPr>
      <w:r w:rsidRPr="00E33C46">
        <w:rPr>
          <w:rFonts w:ascii="Verdana" w:hAnsi="Verdana"/>
          <w:sz w:val="22"/>
          <w:szCs w:val="22"/>
        </w:rPr>
        <w:t>E</w:t>
      </w:r>
      <w:r w:rsidRPr="00E33C46">
        <w:rPr>
          <w:rFonts w:ascii="Verdana" w:hAnsi="Verdana"/>
          <w:sz w:val="22"/>
          <w:szCs w:val="22"/>
        </w:rPr>
        <w:t xml:space="preserve">l Ministerio reconoce la relevancia constitucional de la información comunicada y reafirma que el estado de gestación de la compañera permanente del contratista no puede emplearse como móvil discriminatorio, </w:t>
      </w:r>
      <w:proofErr w:type="spellStart"/>
      <w:r w:rsidRPr="00E33C46">
        <w:rPr>
          <w:rFonts w:ascii="Verdana" w:hAnsi="Verdana"/>
          <w:sz w:val="22"/>
          <w:szCs w:val="22"/>
        </w:rPr>
        <w:t>retaliatorio</w:t>
      </w:r>
      <w:proofErr w:type="spellEnd"/>
      <w:r w:rsidRPr="00E33C46">
        <w:rPr>
          <w:rFonts w:ascii="Verdana" w:hAnsi="Verdana"/>
          <w:sz w:val="22"/>
          <w:szCs w:val="22"/>
        </w:rPr>
        <w:t xml:space="preserve"> o arbitrario en la ejecución del vínculo</w:t>
      </w:r>
      <w:r w:rsidRPr="00E33C46">
        <w:rPr>
          <w:rFonts w:ascii="Verdana" w:hAnsi="Verdana"/>
          <w:sz w:val="22"/>
          <w:szCs w:val="22"/>
        </w:rPr>
        <w:t>, esta</w:t>
      </w:r>
      <w:r w:rsidRPr="00E33C46">
        <w:rPr>
          <w:rFonts w:ascii="Verdana" w:hAnsi="Verdana"/>
          <w:sz w:val="22"/>
          <w:szCs w:val="22"/>
        </w:rPr>
        <w:t xml:space="preserve"> conclusión es inequívoca, pero no equivale a trasladar automáticamente todas las instituciones propias del contrato de trabajo a una relación contractual estatal regida por normas y presupuestos distintos.</w:t>
      </w:r>
    </w:p>
    <w:p w14:paraId="1E6C11DF" w14:textId="77777777" w:rsidR="0098390B" w:rsidRPr="00E33C46" w:rsidRDefault="0098390B" w:rsidP="00E33C46">
      <w:pPr>
        <w:jc w:val="both"/>
        <w:rPr>
          <w:rFonts w:ascii="Verdana" w:hAnsi="Verdana"/>
          <w:sz w:val="22"/>
          <w:szCs w:val="22"/>
        </w:rPr>
      </w:pPr>
    </w:p>
    <w:p w14:paraId="3EDD0CE0" w14:textId="086B7B76" w:rsidR="0098390B" w:rsidRPr="00E33C46" w:rsidRDefault="0098390B" w:rsidP="00E33C46">
      <w:pPr>
        <w:jc w:val="both"/>
        <w:rPr>
          <w:rFonts w:ascii="Verdana" w:hAnsi="Verdana"/>
          <w:sz w:val="22"/>
          <w:szCs w:val="22"/>
        </w:rPr>
      </w:pPr>
      <w:r w:rsidRPr="00E33C46">
        <w:rPr>
          <w:rFonts w:ascii="Verdana" w:hAnsi="Verdana"/>
          <w:sz w:val="22"/>
          <w:szCs w:val="22"/>
        </w:rPr>
        <w:t>El numeral 5 del artículo 239 del Código Sustantivo del Trabajo, adicionado por la Ley 2141 de 2021 y depurado por la Sentencia C-517 de 2024, establece una prohibición de despido respecto del trabajador cuya cónyuge, pareja o compañera permanente se encuentre en embarazo o dentro de las dieciocho semanas posteriores al parto. Después de la Sentencia C-517 de 2024 ya no puede condicionarse la protección a que la mujer carezca de empleo formal ni exigirse una declaración sobre esa carencia. Subsisten, como presupuestos de activación en el ámbito regulado, la notificación verbal o escrita al empleador y la presentación de prueba del embarazo dentro del mes siguiente.</w:t>
      </w:r>
    </w:p>
    <w:p w14:paraId="2E110834" w14:textId="77777777" w:rsidR="0098390B" w:rsidRPr="00E33C46" w:rsidRDefault="0098390B" w:rsidP="00E33C46">
      <w:pPr>
        <w:jc w:val="both"/>
        <w:rPr>
          <w:rFonts w:ascii="Verdana" w:hAnsi="Verdana"/>
          <w:sz w:val="22"/>
          <w:szCs w:val="22"/>
        </w:rPr>
      </w:pPr>
    </w:p>
    <w:p w14:paraId="4143B5AE" w14:textId="32F64DBD" w:rsidR="0098390B" w:rsidRPr="00E33C46" w:rsidRDefault="0098390B" w:rsidP="00E33C46">
      <w:pPr>
        <w:jc w:val="both"/>
        <w:rPr>
          <w:rFonts w:ascii="Verdana" w:hAnsi="Verdana"/>
          <w:sz w:val="22"/>
          <w:szCs w:val="22"/>
        </w:rPr>
      </w:pPr>
      <w:r w:rsidRPr="00E33C46">
        <w:rPr>
          <w:rFonts w:ascii="Verdana" w:hAnsi="Verdana"/>
          <w:sz w:val="22"/>
          <w:szCs w:val="22"/>
        </w:rPr>
        <w:t>La Sentencia C-517 de 2024 eliminó una restricción discriminatoria del régimen legal; no modificó la naturaleza de los contratos estatales de prestación de servicios ni declaró que toda persona que contrata autónomamente con el Estado deba considerarse, por ese solo hecho, “trabajador” sujeto a los artículos 239 y 240 del Código Sustantivo del Trabajo. Su problema jurídico y su decisión se refirieron a la protección contra el despido dentro del régimen laboral.</w:t>
      </w:r>
    </w:p>
    <w:p w14:paraId="36EEC320" w14:textId="77777777" w:rsidR="0098390B" w:rsidRPr="00E33C46" w:rsidRDefault="0098390B" w:rsidP="00E33C46">
      <w:pPr>
        <w:jc w:val="both"/>
        <w:rPr>
          <w:rFonts w:ascii="Verdana" w:hAnsi="Verdana"/>
          <w:sz w:val="22"/>
          <w:szCs w:val="22"/>
        </w:rPr>
      </w:pPr>
    </w:p>
    <w:p w14:paraId="5D9DB8EA" w14:textId="27952611" w:rsidR="0098390B" w:rsidRPr="00E33C46" w:rsidRDefault="0098390B" w:rsidP="00E33C46">
      <w:pPr>
        <w:jc w:val="both"/>
        <w:rPr>
          <w:rFonts w:ascii="Verdana" w:hAnsi="Verdana"/>
          <w:sz w:val="22"/>
          <w:szCs w:val="22"/>
        </w:rPr>
      </w:pPr>
      <w:r w:rsidRPr="00E33C46">
        <w:rPr>
          <w:rFonts w:ascii="Verdana" w:hAnsi="Verdana"/>
          <w:sz w:val="22"/>
          <w:szCs w:val="22"/>
        </w:rPr>
        <w:t>En igual sentido, las Sentencias T-079 de 2024, T-259 de 2024 y T-164 de 2025 resolvieron controversias relativas a contratos de trabajo</w:t>
      </w:r>
      <w:r w:rsidRPr="00E33C46">
        <w:rPr>
          <w:rFonts w:ascii="Verdana" w:hAnsi="Verdana"/>
          <w:sz w:val="22"/>
          <w:szCs w:val="22"/>
        </w:rPr>
        <w:t xml:space="preserve"> y las decisiones de despido en licencia de paternidad.</w:t>
      </w:r>
      <w:r w:rsidRPr="00E33C46">
        <w:rPr>
          <w:rFonts w:ascii="Verdana" w:hAnsi="Verdana"/>
          <w:sz w:val="22"/>
          <w:szCs w:val="22"/>
        </w:rPr>
        <w:t>. La Sentencia T-132 de 2026 reiteró que, en ese marco laboral, el fuero se activa con la notificación y la prueba del embarazo; allí también se examinó la terminación de un contrato de trabajo. Por tanto, tales providencias no contienen una regla específica conforme a la cual la sola noticia del embarazo de la compañera de un contratista estatal obligue a renovar o prorrogar su contrato de prestación de servicios.</w:t>
      </w:r>
    </w:p>
    <w:p w14:paraId="42E9DB06" w14:textId="77777777" w:rsidR="0098390B" w:rsidRPr="00E33C46" w:rsidRDefault="0098390B" w:rsidP="00E33C46">
      <w:pPr>
        <w:jc w:val="both"/>
        <w:rPr>
          <w:rFonts w:ascii="Verdana" w:hAnsi="Verdana"/>
          <w:sz w:val="22"/>
          <w:szCs w:val="22"/>
        </w:rPr>
      </w:pPr>
    </w:p>
    <w:p w14:paraId="52B6C83A" w14:textId="59F10150" w:rsidR="0098390B" w:rsidRPr="00E33C46" w:rsidRDefault="0098390B" w:rsidP="00E33C46">
      <w:pPr>
        <w:jc w:val="both"/>
        <w:rPr>
          <w:rFonts w:ascii="Verdana" w:hAnsi="Verdana"/>
          <w:sz w:val="22"/>
          <w:szCs w:val="22"/>
        </w:rPr>
      </w:pPr>
      <w:r w:rsidRPr="00E33C46">
        <w:rPr>
          <w:rFonts w:ascii="Verdana" w:hAnsi="Verdana"/>
          <w:sz w:val="22"/>
          <w:szCs w:val="22"/>
        </w:rPr>
        <w:t>La jurisprudencia constitucional ha utilizado la expresión estabilidad ocupacional reforzada para explicar que determinadas garantías fundamentales pueden proyectarse, en circunstancias excepcionales, sobre relaciones no subordinadas</w:t>
      </w:r>
      <w:r w:rsidRPr="00E33C46">
        <w:rPr>
          <w:rFonts w:ascii="Verdana" w:hAnsi="Verdana"/>
          <w:sz w:val="22"/>
          <w:szCs w:val="22"/>
        </w:rPr>
        <w:t>,</w:t>
      </w:r>
      <w:r w:rsidRPr="00E33C46">
        <w:rPr>
          <w:rFonts w:ascii="Verdana" w:hAnsi="Verdana"/>
          <w:sz w:val="22"/>
          <w:szCs w:val="22"/>
        </w:rPr>
        <w:t xml:space="preserve"> </w:t>
      </w:r>
      <w:r w:rsidRPr="00E33C46">
        <w:rPr>
          <w:rFonts w:ascii="Verdana" w:hAnsi="Verdana"/>
          <w:sz w:val="22"/>
          <w:szCs w:val="22"/>
        </w:rPr>
        <w:lastRenderedPageBreak/>
        <w:t>s</w:t>
      </w:r>
      <w:r w:rsidRPr="00E33C46">
        <w:rPr>
          <w:rFonts w:ascii="Verdana" w:hAnsi="Verdana"/>
          <w:sz w:val="22"/>
          <w:szCs w:val="22"/>
        </w:rPr>
        <w:t>in embargo, esa categoría no es una cláusula general de permanencia ni una fuente autónoma de renovación contractual. Exige identificar con precisión el sujeto protegido, la circunstancia de vulnerabilidad, la decisión adversa, la relación causal o discriminatoria y la persistencia material y jurídica de la actividad contratada.</w:t>
      </w:r>
    </w:p>
    <w:p w14:paraId="71E988CE" w14:textId="77777777" w:rsidR="0098390B" w:rsidRPr="00E33C46" w:rsidRDefault="0098390B" w:rsidP="00E33C46">
      <w:pPr>
        <w:jc w:val="both"/>
        <w:rPr>
          <w:rFonts w:ascii="Verdana" w:hAnsi="Verdana"/>
          <w:sz w:val="22"/>
          <w:szCs w:val="22"/>
        </w:rPr>
      </w:pPr>
    </w:p>
    <w:p w14:paraId="492C3741" w14:textId="1D0F45CC" w:rsidR="0098390B" w:rsidRPr="00E33C46" w:rsidRDefault="0098390B" w:rsidP="00E33C46">
      <w:pPr>
        <w:jc w:val="both"/>
        <w:rPr>
          <w:rFonts w:ascii="Verdana" w:hAnsi="Verdana"/>
          <w:sz w:val="22"/>
          <w:szCs w:val="22"/>
        </w:rPr>
      </w:pPr>
      <w:r w:rsidRPr="00E33C46">
        <w:rPr>
          <w:rFonts w:ascii="Verdana" w:hAnsi="Verdana"/>
          <w:sz w:val="22"/>
          <w:szCs w:val="22"/>
        </w:rPr>
        <w:t>La Sentencia SU-049 de 2017, invocada por el peticionario, unificó jurisprudencia sobre estabilidad ocupacional reforzada por condiciones de salud o discapacidad. Su regla protege a la persona que presta el servicio y se encuentra ella misma en situación de debilidad manifiesta por afectaciones de salud</w:t>
      </w:r>
      <w:r w:rsidRPr="00E33C46">
        <w:rPr>
          <w:rFonts w:ascii="Verdana" w:hAnsi="Verdana"/>
          <w:sz w:val="22"/>
          <w:szCs w:val="22"/>
        </w:rPr>
        <w:t>, n</w:t>
      </w:r>
      <w:r w:rsidRPr="00E33C46">
        <w:rPr>
          <w:rFonts w:ascii="Verdana" w:hAnsi="Verdana"/>
          <w:sz w:val="22"/>
          <w:szCs w:val="22"/>
        </w:rPr>
        <w:t>o decidió un caso de fuero de paternidad</w:t>
      </w:r>
      <w:r w:rsidRPr="00E33C46">
        <w:rPr>
          <w:rFonts w:ascii="Verdana" w:hAnsi="Verdana"/>
          <w:sz w:val="22"/>
          <w:szCs w:val="22"/>
        </w:rPr>
        <w:t xml:space="preserve">, </w:t>
      </w:r>
      <w:r w:rsidRPr="00E33C46">
        <w:rPr>
          <w:rFonts w:ascii="Verdana" w:hAnsi="Verdana"/>
          <w:sz w:val="22"/>
          <w:szCs w:val="22"/>
        </w:rPr>
        <w:t>ni extendió, en términos automáticos, el artículo 239 del Código Sustantivo del Trabajo al compañero de una mujer gestante vinculado mediante contrato estatal de prestación de servicios.</w:t>
      </w:r>
    </w:p>
    <w:p w14:paraId="7A12B2A0" w14:textId="77777777" w:rsidR="0098390B" w:rsidRPr="00E33C46" w:rsidRDefault="0098390B" w:rsidP="00E33C46">
      <w:pPr>
        <w:jc w:val="both"/>
        <w:rPr>
          <w:rFonts w:ascii="Verdana" w:hAnsi="Verdana"/>
          <w:sz w:val="22"/>
          <w:szCs w:val="22"/>
        </w:rPr>
      </w:pPr>
    </w:p>
    <w:p w14:paraId="40509ED1" w14:textId="77777777" w:rsidR="0098390B" w:rsidRPr="00E33C46" w:rsidRDefault="0098390B" w:rsidP="00E33C46">
      <w:pPr>
        <w:jc w:val="both"/>
        <w:rPr>
          <w:rFonts w:ascii="Verdana" w:hAnsi="Verdana"/>
          <w:sz w:val="22"/>
          <w:szCs w:val="22"/>
        </w:rPr>
      </w:pPr>
      <w:r w:rsidRPr="00E33C46">
        <w:rPr>
          <w:rFonts w:ascii="Verdana" w:hAnsi="Verdana"/>
          <w:sz w:val="22"/>
          <w:szCs w:val="22"/>
        </w:rPr>
        <w:t>Por su parte, las Sentencias T-014 de 2026, T-489 de 2025 y los precedentes de unificación sobre maternidad en contratos de prestación de servicios se ocupan de la protección directa de la mujer contratista que se encuentra embarazada o en período de lactancia. Ese supuesto tiene fundamento específico en el artículo 43 de la Constitución y no es fáctica ni jurídicamente idéntico al aquí planteado, en el cual la persona contratista es el compañero de la mujer gestante.</w:t>
      </w:r>
    </w:p>
    <w:p w14:paraId="65802182" w14:textId="77777777" w:rsidR="0098390B" w:rsidRPr="00E33C46" w:rsidRDefault="0098390B" w:rsidP="00E33C46">
      <w:pPr>
        <w:jc w:val="both"/>
        <w:rPr>
          <w:rFonts w:ascii="Verdana" w:hAnsi="Verdana"/>
          <w:sz w:val="22"/>
          <w:szCs w:val="22"/>
        </w:rPr>
      </w:pPr>
    </w:p>
    <w:p w14:paraId="6FE98879" w14:textId="3A5B8EC0" w:rsidR="0098390B" w:rsidRPr="00E33C46" w:rsidRDefault="0098390B" w:rsidP="00E33C46">
      <w:pPr>
        <w:jc w:val="both"/>
        <w:rPr>
          <w:rFonts w:ascii="Verdana" w:hAnsi="Verdana"/>
          <w:sz w:val="22"/>
          <w:szCs w:val="22"/>
        </w:rPr>
      </w:pPr>
      <w:r w:rsidRPr="00E33C46">
        <w:rPr>
          <w:rFonts w:ascii="Verdana" w:hAnsi="Verdana"/>
          <w:sz w:val="22"/>
          <w:szCs w:val="22"/>
        </w:rPr>
        <w:t>La analogía propuesta en la petición, por consiguiente, no permite concluir que exista un mandato jurisprudencial vinculante de reconocimiento automático del fuero de paternidad a favor de todo contratista estatal. Sí impone una pauta de prudencia constitucional: si en el futuro llegara a adoptarse una decisión concreta con incidencia sobre el vínculo, la autoridad competente deberá verificar sus causas reales, excluir cualquier motivación discriminatoria y ponderar las circunstancias acreditadas, sin que ello suprima las exigencias propias de la contratación pública.</w:t>
      </w:r>
    </w:p>
    <w:p w14:paraId="2C0140BC" w14:textId="77777777" w:rsidR="0098390B" w:rsidRPr="00E33C46" w:rsidRDefault="0098390B" w:rsidP="00E33C46">
      <w:pPr>
        <w:jc w:val="both"/>
        <w:rPr>
          <w:rFonts w:ascii="Verdana" w:hAnsi="Verdana"/>
          <w:sz w:val="22"/>
          <w:szCs w:val="22"/>
        </w:rPr>
      </w:pPr>
    </w:p>
    <w:p w14:paraId="4FF66952" w14:textId="7F92562F" w:rsidR="0098390B" w:rsidRPr="00E33C46" w:rsidRDefault="0098390B" w:rsidP="00E33C46">
      <w:pPr>
        <w:jc w:val="both"/>
        <w:rPr>
          <w:rFonts w:ascii="Verdana" w:hAnsi="Verdana"/>
          <w:sz w:val="22"/>
          <w:szCs w:val="22"/>
        </w:rPr>
      </w:pPr>
      <w:r w:rsidRPr="00E33C46">
        <w:rPr>
          <w:rFonts w:ascii="Verdana" w:hAnsi="Verdana"/>
          <w:sz w:val="22"/>
          <w:szCs w:val="22"/>
        </w:rPr>
        <w:t>Conforme al numeral 3 del artículo 32 de la Ley 80 de 1993, los contratos de prestación de servicios se celebran para desarrollar actividades relacionadas con la administración o funcionamiento de la entidad, cuando no puedan realizarse con personal de planta o requieran conocimientos especializados. Estos contratos no generan relación laboral ni prestaciones sociales y se celebran por el término estrictamente indispensable.</w:t>
      </w:r>
    </w:p>
    <w:p w14:paraId="499138F4" w14:textId="77777777" w:rsidR="0098390B" w:rsidRPr="00E33C46" w:rsidRDefault="0098390B" w:rsidP="00E33C46">
      <w:pPr>
        <w:jc w:val="both"/>
        <w:rPr>
          <w:rFonts w:ascii="Verdana" w:hAnsi="Verdana"/>
          <w:sz w:val="22"/>
          <w:szCs w:val="22"/>
        </w:rPr>
      </w:pPr>
    </w:p>
    <w:p w14:paraId="3B335B5C" w14:textId="471D4948" w:rsidR="0098390B" w:rsidRPr="00E33C46" w:rsidRDefault="0098390B" w:rsidP="00E33C46">
      <w:pPr>
        <w:jc w:val="both"/>
        <w:rPr>
          <w:rFonts w:ascii="Verdana" w:hAnsi="Verdana"/>
          <w:sz w:val="22"/>
          <w:szCs w:val="22"/>
        </w:rPr>
      </w:pPr>
      <w:r w:rsidRPr="00E33C46">
        <w:rPr>
          <w:rFonts w:ascii="Verdana" w:hAnsi="Verdana"/>
          <w:sz w:val="22"/>
          <w:szCs w:val="22"/>
        </w:rPr>
        <w:t xml:space="preserve">El Contrato No. 557 de 2026 conserva, por tanto, su carácter temporal, autónomo y delimitado por el objeto, el plazo y las condiciones pactadas. </w:t>
      </w:r>
      <w:r w:rsidRPr="00E33C46">
        <w:rPr>
          <w:rFonts w:ascii="Verdana" w:hAnsi="Verdana"/>
          <w:sz w:val="22"/>
          <w:szCs w:val="22"/>
        </w:rPr>
        <w:lastRenderedPageBreak/>
        <w:t>Mientras permanezca vigente, el Ministerio y el contratista deben cumplir íntegramente sus obligaciones. Su terminación por vencimiento del plazo acordado no equivale, por sí sola, a un despido; tampoco existe un derecho subjetivo a que el contrato sea prorrogado, adicionado o renovado.</w:t>
      </w:r>
    </w:p>
    <w:p w14:paraId="3C44B9D4" w14:textId="77777777" w:rsidR="0098390B" w:rsidRPr="00E33C46" w:rsidRDefault="0098390B" w:rsidP="00E33C46">
      <w:pPr>
        <w:jc w:val="both"/>
        <w:rPr>
          <w:rFonts w:ascii="Verdana" w:hAnsi="Verdana"/>
          <w:sz w:val="22"/>
          <w:szCs w:val="22"/>
        </w:rPr>
      </w:pPr>
      <w:r w:rsidRPr="00E33C46">
        <w:rPr>
          <w:rFonts w:ascii="Verdana" w:hAnsi="Verdana"/>
          <w:sz w:val="22"/>
          <w:szCs w:val="22"/>
        </w:rPr>
        <w:t>Una eventual prórroga o la celebración de un nuevo contrato requiere una decisión administrativa previa, motivada en la persistencia de una necesidad institucional, la idoneidad de la modalidad, la existencia de estudios y documentos previos, la disponibilidad presupuestal, el cumplimiento de los principios de planeación, transparencia y responsabilidad y la observancia del régimen de inhabilidades e incompatibilidades. La autonomía de la voluntad contractual está subordinada a la Constitución y a la ley, pero no puede sustituirse por una promesa anticipada de contratación futura.</w:t>
      </w:r>
    </w:p>
    <w:p w14:paraId="15E91ACE" w14:textId="77777777" w:rsidR="0098390B" w:rsidRPr="00E33C46" w:rsidRDefault="0098390B" w:rsidP="00E33C46">
      <w:pPr>
        <w:jc w:val="both"/>
        <w:rPr>
          <w:rFonts w:ascii="Verdana" w:hAnsi="Verdana"/>
          <w:sz w:val="22"/>
          <w:szCs w:val="22"/>
        </w:rPr>
      </w:pPr>
    </w:p>
    <w:p w14:paraId="3399D8F3" w14:textId="6342D4C3" w:rsidR="0098390B" w:rsidRPr="00E33C46" w:rsidRDefault="0098390B" w:rsidP="00E33C46">
      <w:pPr>
        <w:jc w:val="both"/>
        <w:rPr>
          <w:rFonts w:ascii="Verdana" w:hAnsi="Verdana"/>
          <w:sz w:val="22"/>
          <w:szCs w:val="22"/>
        </w:rPr>
      </w:pPr>
      <w:r w:rsidRPr="00E33C46">
        <w:rPr>
          <w:rFonts w:ascii="Verdana" w:hAnsi="Verdana"/>
          <w:sz w:val="22"/>
          <w:szCs w:val="22"/>
        </w:rPr>
        <w:t>De igual forma, la buena fe y la confianza legítima protegen expectativas razonables frente a cambios abruptos o actuaciones contradictorias de la Administración; no convierten la mera expectativa de continuidad en un derecho adquirido, ni autorizan a comprometer vigencias, recursos o necesidades contractuales futuras al margen de los procedimientos legalmente exigidos.</w:t>
      </w:r>
    </w:p>
    <w:p w14:paraId="2288917B" w14:textId="77777777" w:rsidR="0098390B" w:rsidRPr="00E33C46" w:rsidRDefault="0098390B" w:rsidP="00E33C46">
      <w:pPr>
        <w:jc w:val="both"/>
        <w:rPr>
          <w:rFonts w:ascii="Verdana" w:hAnsi="Verdana"/>
          <w:sz w:val="22"/>
          <w:szCs w:val="22"/>
        </w:rPr>
      </w:pPr>
    </w:p>
    <w:p w14:paraId="31AE45FD" w14:textId="77777777" w:rsidR="0098390B" w:rsidRPr="00E33C46" w:rsidRDefault="0098390B" w:rsidP="00E33C46">
      <w:pPr>
        <w:jc w:val="both"/>
        <w:rPr>
          <w:rFonts w:ascii="Verdana" w:hAnsi="Verdana"/>
          <w:sz w:val="22"/>
          <w:szCs w:val="22"/>
        </w:rPr>
      </w:pPr>
      <w:r w:rsidRPr="00E33C46">
        <w:rPr>
          <w:rFonts w:ascii="Verdana" w:hAnsi="Verdana"/>
          <w:sz w:val="22"/>
          <w:szCs w:val="22"/>
        </w:rPr>
        <w:t>Según la propia petición, el Contrato No. 557 de 2026 está vigente y en ejecución. No se identifica una decisión de terminación anticipada, suspensión, incumplimiento, desmejora o no renovación que pueda ser examinada por sus causas, oportunidad y efectos</w:t>
      </w:r>
      <w:r w:rsidRPr="00E33C46">
        <w:rPr>
          <w:rFonts w:ascii="Verdana" w:hAnsi="Verdana"/>
          <w:sz w:val="22"/>
          <w:szCs w:val="22"/>
        </w:rPr>
        <w:t>, e</w:t>
      </w:r>
      <w:r w:rsidRPr="00E33C46">
        <w:rPr>
          <w:rFonts w:ascii="Verdana" w:hAnsi="Verdana"/>
          <w:sz w:val="22"/>
          <w:szCs w:val="22"/>
        </w:rPr>
        <w:t>n es</w:t>
      </w:r>
      <w:r w:rsidRPr="00E33C46">
        <w:rPr>
          <w:rFonts w:ascii="Verdana" w:hAnsi="Verdana"/>
          <w:sz w:val="22"/>
          <w:szCs w:val="22"/>
        </w:rPr>
        <w:t>t</w:t>
      </w:r>
      <w:r w:rsidRPr="00E33C46">
        <w:rPr>
          <w:rFonts w:ascii="Verdana" w:hAnsi="Verdana"/>
          <w:sz w:val="22"/>
          <w:szCs w:val="22"/>
        </w:rPr>
        <w:t>as condiciones, no es jurídicamente posible declarar de manera anticipada la ineficacia de una actuación inexistente ni reconocer una protección con contenido indefinido frente a escenarios futuros e inciertos.</w:t>
      </w:r>
    </w:p>
    <w:p w14:paraId="2B3D7C54" w14:textId="77777777" w:rsidR="0098390B" w:rsidRPr="00E33C46" w:rsidRDefault="0098390B" w:rsidP="00E33C46">
      <w:pPr>
        <w:jc w:val="both"/>
        <w:rPr>
          <w:rFonts w:ascii="Verdana" w:hAnsi="Verdana"/>
          <w:b/>
          <w:bCs/>
          <w:sz w:val="22"/>
          <w:szCs w:val="22"/>
        </w:rPr>
      </w:pPr>
    </w:p>
    <w:p w14:paraId="2D0C3AF8" w14:textId="77777777" w:rsidR="009207BA" w:rsidRPr="00E33C46" w:rsidRDefault="0098390B" w:rsidP="00E33C46">
      <w:pPr>
        <w:jc w:val="both"/>
        <w:rPr>
          <w:rFonts w:ascii="Verdana" w:hAnsi="Verdana"/>
          <w:sz w:val="22"/>
          <w:szCs w:val="22"/>
        </w:rPr>
      </w:pPr>
      <w:r w:rsidRPr="00E33C46">
        <w:rPr>
          <w:rFonts w:ascii="Verdana" w:hAnsi="Verdana"/>
          <w:b/>
          <w:bCs/>
          <w:caps/>
          <w:sz w:val="22"/>
          <w:szCs w:val="22"/>
        </w:rPr>
        <w:t>Respuesta individual a las pretensiones</w:t>
      </w:r>
      <w:r w:rsidRPr="00E33C46">
        <w:rPr>
          <w:rFonts w:ascii="Verdana" w:hAnsi="Verdana"/>
          <w:b/>
          <w:bCs/>
          <w:caps/>
          <w:sz w:val="22"/>
          <w:szCs w:val="22"/>
        </w:rPr>
        <w:t>:</w:t>
      </w:r>
      <w:r w:rsidR="009207BA" w:rsidRPr="00E33C46">
        <w:rPr>
          <w:rFonts w:ascii="Verdana" w:hAnsi="Verdana"/>
          <w:b/>
          <w:bCs/>
          <w:caps/>
          <w:sz w:val="22"/>
          <w:szCs w:val="22"/>
        </w:rPr>
        <w:t xml:space="preserve"> </w:t>
      </w:r>
      <w:r w:rsidRPr="00E33C46">
        <w:rPr>
          <w:rFonts w:ascii="Verdana" w:hAnsi="Verdana"/>
          <w:sz w:val="22"/>
          <w:szCs w:val="22"/>
        </w:rPr>
        <w:t>Expuestas las anteriores consideraciones, el Ministerio del Interior procede a resolver de manera separada, expresa y congruente cada una de las pretensiones formuladas, precisando tanto la decisión adoptada como su alcance jurídico:</w:t>
      </w:r>
    </w:p>
    <w:p w14:paraId="10D52A8E" w14:textId="77777777" w:rsidR="009207BA" w:rsidRPr="00E33C46" w:rsidRDefault="009207BA" w:rsidP="00E33C46">
      <w:pPr>
        <w:jc w:val="both"/>
        <w:rPr>
          <w:rFonts w:ascii="Verdana" w:hAnsi="Verdana"/>
          <w:sz w:val="22"/>
          <w:szCs w:val="22"/>
        </w:rPr>
      </w:pPr>
    </w:p>
    <w:p w14:paraId="7E991237" w14:textId="493EFF4E" w:rsidR="0098390B" w:rsidRPr="00E33C46" w:rsidRDefault="0098390B" w:rsidP="00E33C46">
      <w:pPr>
        <w:jc w:val="both"/>
        <w:rPr>
          <w:rFonts w:ascii="Verdana" w:hAnsi="Verdana"/>
          <w:b/>
          <w:bCs/>
          <w:caps/>
          <w:sz w:val="22"/>
          <w:szCs w:val="22"/>
        </w:rPr>
      </w:pPr>
      <w:r w:rsidRPr="00E33C46">
        <w:rPr>
          <w:rFonts w:ascii="Verdana" w:hAnsi="Verdana"/>
          <w:b/>
          <w:bCs/>
          <w:sz w:val="22"/>
          <w:szCs w:val="22"/>
        </w:rPr>
        <w:t>1. Frente a la solicitud de incorporación de la comunicación y sus anexos al expediente contractual</w:t>
      </w:r>
      <w:r w:rsidRPr="00E33C46">
        <w:rPr>
          <w:rFonts w:ascii="Verdana" w:hAnsi="Verdana"/>
          <w:b/>
          <w:bCs/>
          <w:sz w:val="22"/>
          <w:szCs w:val="22"/>
        </w:rPr>
        <w:t>:</w:t>
      </w:r>
      <w:r w:rsidRPr="00E33C46">
        <w:rPr>
          <w:rFonts w:ascii="Verdana" w:hAnsi="Verdana"/>
          <w:sz w:val="22"/>
          <w:szCs w:val="22"/>
        </w:rPr>
        <w:t xml:space="preserve"> </w:t>
      </w:r>
      <w:r w:rsidRPr="00E33C46">
        <w:rPr>
          <w:rFonts w:ascii="Verdana" w:hAnsi="Verdana"/>
          <w:b/>
          <w:sz w:val="22"/>
          <w:szCs w:val="22"/>
        </w:rPr>
        <w:t xml:space="preserve">Se accede a esta pretensión. </w:t>
      </w:r>
      <w:r w:rsidRPr="00E33C46">
        <w:rPr>
          <w:rFonts w:ascii="Verdana" w:hAnsi="Verdana"/>
          <w:sz w:val="22"/>
          <w:szCs w:val="22"/>
        </w:rPr>
        <w:t>La comunicación presentada el 14 de julio de 2026, junto con los documentos allegados para acreditar el estado de gestación de la señora María Camila Vélez Rojas, la existencia de la unión permanente y la conformación del núcleo familiar, será incorporada íntegramente al expediente del Contrato de Prestación de Servicios No. 557 de 2026. Dicha actuación responde a los deberes de integridad documental, trazabilidad, conservación de la información y adecuada gestión del expediente contractual.</w:t>
      </w:r>
    </w:p>
    <w:p w14:paraId="515CB35A" w14:textId="77777777" w:rsidR="0098390B" w:rsidRPr="00E33C46" w:rsidRDefault="0098390B" w:rsidP="00E33C46">
      <w:pPr>
        <w:jc w:val="both"/>
        <w:rPr>
          <w:rFonts w:ascii="Verdana" w:hAnsi="Verdana"/>
          <w:sz w:val="22"/>
          <w:szCs w:val="22"/>
        </w:rPr>
      </w:pPr>
      <w:r w:rsidRPr="00E33C46">
        <w:rPr>
          <w:rFonts w:ascii="Verdana" w:hAnsi="Verdana"/>
          <w:sz w:val="22"/>
          <w:szCs w:val="22"/>
        </w:rPr>
        <w:lastRenderedPageBreak/>
        <w:t>La incorporación documental permite dejar constancia formal del conocimiento adquirido por la Entidad respecto de las circunstancias familiares informadas y garantiza que estas puedan ser consideradas, cuando jurídicamente corresponda, dentro de las actuaciones que se adelanten durante la ejecución del contrato.</w:t>
      </w:r>
    </w:p>
    <w:p w14:paraId="3ABC1E3C" w14:textId="77777777" w:rsidR="009207BA" w:rsidRPr="00E33C46" w:rsidRDefault="009207BA" w:rsidP="00E33C46">
      <w:pPr>
        <w:jc w:val="both"/>
        <w:rPr>
          <w:rFonts w:ascii="Verdana" w:hAnsi="Verdana"/>
          <w:sz w:val="22"/>
          <w:szCs w:val="22"/>
        </w:rPr>
      </w:pPr>
    </w:p>
    <w:p w14:paraId="6C5968C5" w14:textId="321069EB" w:rsidR="0098390B" w:rsidRPr="00E33C46" w:rsidRDefault="0098390B" w:rsidP="00E33C46">
      <w:pPr>
        <w:jc w:val="both"/>
        <w:rPr>
          <w:rFonts w:ascii="Verdana" w:hAnsi="Verdana"/>
          <w:sz w:val="22"/>
          <w:szCs w:val="22"/>
        </w:rPr>
      </w:pPr>
      <w:r w:rsidRPr="00E33C46">
        <w:rPr>
          <w:rFonts w:ascii="Verdana" w:hAnsi="Verdana"/>
          <w:sz w:val="22"/>
          <w:szCs w:val="22"/>
        </w:rPr>
        <w:t>Se precisa, sin embargo, que la incorporación de la comunicación y sus anexos al expediente constituye una actuación de registro, custodia y valoración administrativa</w:t>
      </w:r>
      <w:r w:rsidRPr="00E33C46">
        <w:rPr>
          <w:rFonts w:ascii="Verdana" w:hAnsi="Verdana"/>
          <w:sz w:val="22"/>
          <w:szCs w:val="22"/>
        </w:rPr>
        <w:t xml:space="preserve"> y p</w:t>
      </w:r>
      <w:r w:rsidRPr="00E33C46">
        <w:rPr>
          <w:rFonts w:ascii="Verdana" w:hAnsi="Verdana"/>
          <w:sz w:val="22"/>
          <w:szCs w:val="22"/>
        </w:rPr>
        <w:t>or sí misma no modifica la naturaleza del contrato de prestación de servicios, no comporta el reconocimiento de una relación laboral subordinada, no altera el plazo</w:t>
      </w:r>
      <w:r w:rsidRPr="00E33C46">
        <w:rPr>
          <w:rFonts w:ascii="Verdana" w:hAnsi="Verdana"/>
          <w:sz w:val="22"/>
          <w:szCs w:val="22"/>
        </w:rPr>
        <w:t>,</w:t>
      </w:r>
      <w:r w:rsidRPr="00E33C46">
        <w:rPr>
          <w:rFonts w:ascii="Verdana" w:hAnsi="Verdana"/>
          <w:sz w:val="22"/>
          <w:szCs w:val="22"/>
        </w:rPr>
        <w:t xml:space="preserve"> ni las demás estipulaciones contractuales y tampoco supone la aceptación automática de las consecuencias jurídicas que el peticionario atribuye a los documentos aportados.</w:t>
      </w:r>
    </w:p>
    <w:p w14:paraId="75862E09" w14:textId="58101CA1" w:rsidR="0098390B" w:rsidRPr="00E33C46" w:rsidRDefault="0098390B" w:rsidP="00E33C46">
      <w:pPr>
        <w:pStyle w:val="Ttulo2"/>
        <w:jc w:val="both"/>
        <w:rPr>
          <w:rFonts w:ascii="Verdana" w:hAnsi="Verdana"/>
          <w:b/>
          <w:bCs/>
          <w:color w:val="000000" w:themeColor="text1"/>
          <w:sz w:val="22"/>
          <w:szCs w:val="22"/>
        </w:rPr>
      </w:pPr>
      <w:r w:rsidRPr="00E33C46">
        <w:rPr>
          <w:rFonts w:ascii="Verdana" w:hAnsi="Verdana"/>
          <w:b/>
          <w:bCs/>
          <w:color w:val="000000" w:themeColor="text1"/>
          <w:sz w:val="22"/>
          <w:szCs w:val="22"/>
        </w:rPr>
        <w:t>2. Frente a la solicitud de reconocimiento y aplicación de la estabilidad ocupacional reforzada derivada del fuero de paternidad</w:t>
      </w:r>
      <w:r w:rsidR="009207BA" w:rsidRPr="00E33C46">
        <w:rPr>
          <w:rFonts w:ascii="Verdana" w:hAnsi="Verdana"/>
          <w:b/>
          <w:bCs/>
          <w:color w:val="000000" w:themeColor="text1"/>
          <w:sz w:val="22"/>
          <w:szCs w:val="22"/>
        </w:rPr>
        <w:t xml:space="preserve">. </w:t>
      </w:r>
      <w:r w:rsidRPr="00E33C46">
        <w:rPr>
          <w:rFonts w:ascii="Verdana" w:hAnsi="Verdana"/>
          <w:b/>
          <w:color w:val="000000" w:themeColor="text1"/>
          <w:sz w:val="22"/>
          <w:szCs w:val="22"/>
        </w:rPr>
        <w:t>No se</w:t>
      </w:r>
      <w:r w:rsidR="009207BA" w:rsidRPr="00E33C46">
        <w:rPr>
          <w:rFonts w:ascii="Verdana" w:hAnsi="Verdana"/>
          <w:b/>
          <w:color w:val="000000" w:themeColor="text1"/>
          <w:sz w:val="22"/>
          <w:szCs w:val="22"/>
        </w:rPr>
        <w:t xml:space="preserve"> </w:t>
      </w:r>
      <w:r w:rsidRPr="00E33C46">
        <w:rPr>
          <w:rFonts w:ascii="Verdana" w:hAnsi="Verdana"/>
          <w:b/>
          <w:color w:val="000000" w:themeColor="text1"/>
          <w:sz w:val="22"/>
          <w:szCs w:val="22"/>
        </w:rPr>
        <w:t>accede a esta pretensión en los términos en que fue formulada</w:t>
      </w:r>
      <w:r w:rsidR="009207BA" w:rsidRPr="00E33C46">
        <w:rPr>
          <w:rFonts w:ascii="Verdana" w:hAnsi="Verdana"/>
          <w:b/>
          <w:color w:val="000000" w:themeColor="text1"/>
          <w:sz w:val="22"/>
          <w:szCs w:val="22"/>
        </w:rPr>
        <w:t xml:space="preserve">: </w:t>
      </w:r>
      <w:r w:rsidRPr="00E33C46">
        <w:rPr>
          <w:rFonts w:ascii="Verdana" w:hAnsi="Verdana"/>
          <w:color w:val="000000" w:themeColor="text1"/>
          <w:sz w:val="22"/>
          <w:szCs w:val="22"/>
        </w:rPr>
        <w:t>La notificación del estado de gestación de la compañera permanente del contratista no produce, por sí sola, el reconocimiento automático de una garantía de permanencia que asegure la continuidad, prórroga, renovación o celebración de un nuevo contrato de prestación de servicios.</w:t>
      </w:r>
    </w:p>
    <w:p w14:paraId="37A115B1" w14:textId="760B2C84" w:rsidR="0098390B" w:rsidRPr="00E33C46" w:rsidRDefault="0098390B" w:rsidP="00E33C46">
      <w:pPr>
        <w:jc w:val="both"/>
        <w:rPr>
          <w:rFonts w:ascii="Verdana" w:hAnsi="Verdana"/>
          <w:sz w:val="22"/>
          <w:szCs w:val="22"/>
        </w:rPr>
      </w:pPr>
      <w:r w:rsidRPr="00E33C46">
        <w:rPr>
          <w:rFonts w:ascii="Verdana" w:hAnsi="Verdana"/>
          <w:sz w:val="22"/>
          <w:szCs w:val="22"/>
        </w:rPr>
        <w:t>Como quedó expuesto, el fuero de paternidad regulado en los artículos 239 y 240 del Código Sustantivo del Trabajo se estructura como una prohibición de despido y una garantía de estabilidad respecto de trabajadores vinculados mediante una relación laboral. La Sentencia C-517 de 2024</w:t>
      </w:r>
      <w:r w:rsidR="00E33C46">
        <w:rPr>
          <w:rFonts w:ascii="Verdana" w:hAnsi="Verdana"/>
          <w:sz w:val="22"/>
          <w:szCs w:val="22"/>
        </w:rPr>
        <w:t xml:space="preserve">, amplió y modificó el fuero de paternidad, </w:t>
      </w:r>
      <w:r w:rsidRPr="00E33C46">
        <w:rPr>
          <w:rFonts w:ascii="Verdana" w:hAnsi="Verdana"/>
          <w:sz w:val="22"/>
          <w:szCs w:val="22"/>
        </w:rPr>
        <w:t>eliminó las condiciones relacionadas con la inexistencia de empleo formal de la mujer gestante y con la declaración sobre su dependencia económica, pero no transformó los contratos estatales de prestación de servicios en relaciones de trabajo ni extendió automáticamente todas las consecuencias del régimen laboral a quienes contratan autónomamente con el Estado.</w:t>
      </w:r>
    </w:p>
    <w:p w14:paraId="0334D9CF" w14:textId="77777777" w:rsidR="009207BA" w:rsidRPr="00E33C46" w:rsidRDefault="009207BA" w:rsidP="00E33C46">
      <w:pPr>
        <w:jc w:val="both"/>
        <w:rPr>
          <w:rFonts w:ascii="Verdana" w:hAnsi="Verdana"/>
          <w:sz w:val="22"/>
          <w:szCs w:val="22"/>
        </w:rPr>
      </w:pPr>
    </w:p>
    <w:p w14:paraId="39C9FBE5" w14:textId="78DAF6A4" w:rsidR="0098390B" w:rsidRPr="00E33C46" w:rsidRDefault="0098390B" w:rsidP="00E33C46">
      <w:pPr>
        <w:jc w:val="both"/>
        <w:rPr>
          <w:rFonts w:ascii="Verdana" w:hAnsi="Verdana"/>
          <w:sz w:val="22"/>
          <w:szCs w:val="22"/>
        </w:rPr>
      </w:pPr>
      <w:r w:rsidRPr="00E33C46">
        <w:rPr>
          <w:rFonts w:ascii="Verdana" w:hAnsi="Verdana"/>
          <w:sz w:val="22"/>
          <w:szCs w:val="22"/>
        </w:rPr>
        <w:t>Tampoco los precedentes relativos a la estabilidad ocupacional reforzada de personas en condición de debilidad manifiesta por razones de salud, ni aquellos que protegen directamente a la mujer contratista embarazada o lactante, establecen una regla vinculante conforme a la cual el compañero permanente de una mujer gestante, vinculado mediante contrato estatal de prestación de servicios, adquiera por ese solo hecho un derecho anticipado a la continuidad contractual.</w:t>
      </w:r>
    </w:p>
    <w:p w14:paraId="19FA7016" w14:textId="77777777" w:rsidR="009207BA" w:rsidRPr="00E33C46" w:rsidRDefault="009207BA" w:rsidP="00E33C46">
      <w:pPr>
        <w:jc w:val="both"/>
        <w:rPr>
          <w:rFonts w:ascii="Verdana" w:hAnsi="Verdana"/>
          <w:sz w:val="22"/>
          <w:szCs w:val="22"/>
        </w:rPr>
      </w:pPr>
    </w:p>
    <w:p w14:paraId="14D15CCE" w14:textId="5A12B018" w:rsidR="0098390B" w:rsidRPr="00E33C46" w:rsidRDefault="0098390B" w:rsidP="00E33C46">
      <w:pPr>
        <w:jc w:val="both"/>
        <w:rPr>
          <w:rFonts w:ascii="Verdana" w:hAnsi="Verdana"/>
          <w:sz w:val="22"/>
          <w:szCs w:val="22"/>
        </w:rPr>
      </w:pPr>
      <w:r w:rsidRPr="00E33C46">
        <w:rPr>
          <w:rFonts w:ascii="Verdana" w:hAnsi="Verdana"/>
          <w:sz w:val="22"/>
          <w:szCs w:val="22"/>
        </w:rPr>
        <w:t xml:space="preserve">Por consiguiente, el Ministerio reconoce la relevancia constitucional de la circunstancia familiar informada y el deber de excluir cualquier actuación discriminatoria; no obstante, carece de fundamento jurídico declarar </w:t>
      </w:r>
      <w:r w:rsidRPr="00E33C46">
        <w:rPr>
          <w:rFonts w:ascii="Verdana" w:hAnsi="Verdana"/>
          <w:sz w:val="22"/>
          <w:szCs w:val="22"/>
        </w:rPr>
        <w:lastRenderedPageBreak/>
        <w:t>preventivamente una estabilidad ocupacional reforzada con efectos automáticos sobre el plazo, la terminación o la eventual contratación futura.</w:t>
      </w:r>
    </w:p>
    <w:p w14:paraId="01D1731D" w14:textId="4EC28F25" w:rsidR="0098390B" w:rsidRPr="00E33C46" w:rsidRDefault="0098390B" w:rsidP="00E33C46">
      <w:pPr>
        <w:pStyle w:val="Ttulo2"/>
        <w:jc w:val="both"/>
        <w:rPr>
          <w:rFonts w:ascii="Verdana" w:hAnsi="Verdana"/>
          <w:b/>
          <w:bCs/>
          <w:color w:val="000000" w:themeColor="text1"/>
          <w:sz w:val="22"/>
          <w:szCs w:val="22"/>
        </w:rPr>
      </w:pPr>
      <w:r w:rsidRPr="00E33C46">
        <w:rPr>
          <w:rFonts w:ascii="Verdana" w:hAnsi="Verdana"/>
          <w:b/>
          <w:bCs/>
          <w:color w:val="000000" w:themeColor="text1"/>
          <w:sz w:val="22"/>
          <w:szCs w:val="22"/>
        </w:rPr>
        <w:t>3. Frente a la solicitud de que toda decisión sobre ejecución, continuidad, suspensión, prórroga, terminación o no renovación observe las circunstancias informadas y el precedente constitucional</w:t>
      </w:r>
      <w:r w:rsidR="009207BA" w:rsidRPr="00E33C46">
        <w:rPr>
          <w:rFonts w:ascii="Verdana" w:hAnsi="Verdana"/>
          <w:b/>
          <w:bCs/>
          <w:color w:val="000000" w:themeColor="text1"/>
          <w:sz w:val="22"/>
          <w:szCs w:val="22"/>
        </w:rPr>
        <w:t xml:space="preserve">. </w:t>
      </w:r>
      <w:r w:rsidRPr="00E33C46">
        <w:rPr>
          <w:rFonts w:ascii="Verdana" w:hAnsi="Verdana"/>
          <w:b/>
          <w:color w:val="000000" w:themeColor="text1"/>
          <w:sz w:val="22"/>
          <w:szCs w:val="22"/>
        </w:rPr>
        <w:t xml:space="preserve">Se accede parcialmente a esta pretensión. </w:t>
      </w:r>
      <w:r w:rsidRPr="00E33C46">
        <w:rPr>
          <w:rFonts w:ascii="Verdana" w:hAnsi="Verdana"/>
          <w:color w:val="000000" w:themeColor="text1"/>
          <w:sz w:val="22"/>
          <w:szCs w:val="22"/>
        </w:rPr>
        <w:t>El Ministerio del Interior reconoce que toda actuación concreta que llegue a adoptarse durante la vigencia del Contrato No. 557 de 2026 deberá respetar la Constitución Política, la ley, las estipulaciones contractuales y el precedente constitucional que resulte verdaderamente aplicable al supuesto examinado.</w:t>
      </w:r>
    </w:p>
    <w:p w14:paraId="5B39D542" w14:textId="77777777" w:rsidR="0098390B" w:rsidRPr="00E33C46" w:rsidRDefault="0098390B" w:rsidP="00E33C46">
      <w:pPr>
        <w:jc w:val="both"/>
        <w:rPr>
          <w:rFonts w:ascii="Verdana" w:hAnsi="Verdana"/>
          <w:sz w:val="22"/>
          <w:szCs w:val="22"/>
        </w:rPr>
      </w:pPr>
      <w:r w:rsidRPr="00E33C46">
        <w:rPr>
          <w:rFonts w:ascii="Verdana" w:hAnsi="Verdana"/>
          <w:sz w:val="22"/>
          <w:szCs w:val="22"/>
        </w:rPr>
        <w:t>En ese sentido, la información allegada será considerada dentro del contexto integral de cualquier actuación que pueda incidir materialmente sobre la ejecución del vínculo. La autoridad competente deberá verificar las razones reales de la decisión, excluir motivaciones discriminatorias asociadas al embarazo de la compañera permanente del contratista y asegurar que la determinación se encuentre sustentada en fundamentos objetivos, comprobables y jurídicamente admisibles.</w:t>
      </w:r>
    </w:p>
    <w:p w14:paraId="72984D1E" w14:textId="77777777" w:rsidR="009207BA" w:rsidRPr="00E33C46" w:rsidRDefault="009207BA" w:rsidP="00E33C46">
      <w:pPr>
        <w:jc w:val="both"/>
        <w:rPr>
          <w:rFonts w:ascii="Verdana" w:hAnsi="Verdana"/>
          <w:sz w:val="22"/>
          <w:szCs w:val="22"/>
        </w:rPr>
      </w:pPr>
    </w:p>
    <w:p w14:paraId="54B727E2" w14:textId="36583FE7" w:rsidR="0098390B" w:rsidRPr="00E33C46" w:rsidRDefault="0098390B" w:rsidP="00E33C46">
      <w:pPr>
        <w:jc w:val="both"/>
        <w:rPr>
          <w:rFonts w:ascii="Verdana" w:hAnsi="Verdana"/>
          <w:sz w:val="22"/>
          <w:szCs w:val="22"/>
        </w:rPr>
      </w:pPr>
      <w:r w:rsidRPr="00E33C46">
        <w:rPr>
          <w:rFonts w:ascii="Verdana" w:hAnsi="Verdana"/>
          <w:sz w:val="22"/>
          <w:szCs w:val="22"/>
        </w:rPr>
        <w:t>Este deber de valoración no impide que la Entidad adopte las decisiones contractuales que legalmente correspondan cuando se configuren causas objetivas relacionadas, entre otras, con el cumplimiento o incumplimiento de las obligaciones, la expiración del plazo pactado, la ejecución integral del objeto, la desaparición de la necesidad institucional, la ausencia de disponibilidad presupuestal o cualquier otra circunstancia autorizada por el ordenamiento jurídico y por el contrato.</w:t>
      </w:r>
    </w:p>
    <w:p w14:paraId="6523C117" w14:textId="77777777" w:rsidR="009207BA" w:rsidRPr="00E33C46" w:rsidRDefault="009207BA" w:rsidP="00E33C46">
      <w:pPr>
        <w:jc w:val="both"/>
        <w:rPr>
          <w:rFonts w:ascii="Verdana" w:hAnsi="Verdana"/>
          <w:sz w:val="22"/>
          <w:szCs w:val="22"/>
        </w:rPr>
      </w:pPr>
    </w:p>
    <w:p w14:paraId="1181F0F5" w14:textId="27B38C7D" w:rsidR="0098390B" w:rsidRPr="00E33C46" w:rsidRDefault="0098390B" w:rsidP="00E33C46">
      <w:pPr>
        <w:jc w:val="both"/>
        <w:rPr>
          <w:rFonts w:ascii="Verdana" w:hAnsi="Verdana"/>
          <w:sz w:val="22"/>
          <w:szCs w:val="22"/>
        </w:rPr>
      </w:pPr>
      <w:r w:rsidRPr="00E33C46">
        <w:rPr>
          <w:rFonts w:ascii="Verdana" w:hAnsi="Verdana"/>
          <w:sz w:val="22"/>
          <w:szCs w:val="22"/>
        </w:rPr>
        <w:t>En particular, la obligación de valorar las circunstancias constitucionales informadas no puede interpretarse como una prórroga anticipada del contrato</w:t>
      </w:r>
      <w:r w:rsidR="009207BA" w:rsidRPr="00E33C46">
        <w:rPr>
          <w:rFonts w:ascii="Verdana" w:hAnsi="Verdana"/>
          <w:sz w:val="22"/>
          <w:szCs w:val="22"/>
        </w:rPr>
        <w:t>,</w:t>
      </w:r>
      <w:r w:rsidRPr="00E33C46">
        <w:rPr>
          <w:rFonts w:ascii="Verdana" w:hAnsi="Verdana"/>
          <w:sz w:val="22"/>
          <w:szCs w:val="22"/>
        </w:rPr>
        <w:t xml:space="preserve"> ni como la creación de un derecho adquirido a su renovación. Cada determinación futura deberá analizarse en su momento, a partir de los hechos efectivamente existentes y de las condiciones jurídicas, técnicas y presupuestales que resulten acreditadas.</w:t>
      </w:r>
    </w:p>
    <w:p w14:paraId="0D9A02A7" w14:textId="22CF7E3E" w:rsidR="0098390B" w:rsidRPr="00E33C46" w:rsidRDefault="0098390B" w:rsidP="00E33C46">
      <w:pPr>
        <w:pStyle w:val="Ttulo2"/>
        <w:jc w:val="both"/>
        <w:rPr>
          <w:rFonts w:ascii="Verdana" w:hAnsi="Verdana"/>
          <w:color w:val="000000" w:themeColor="text1"/>
          <w:sz w:val="22"/>
          <w:szCs w:val="22"/>
        </w:rPr>
      </w:pPr>
      <w:r w:rsidRPr="00E33C46">
        <w:rPr>
          <w:rFonts w:ascii="Verdana" w:hAnsi="Verdana"/>
          <w:b/>
          <w:bCs/>
          <w:color w:val="000000" w:themeColor="text1"/>
          <w:sz w:val="22"/>
          <w:szCs w:val="22"/>
        </w:rPr>
        <w:t>4. Frente a la solicitud de aplicación de los principios de buena fe, confianza legítima, eficacia de la Constitución y protección integral de la familia</w:t>
      </w:r>
      <w:r w:rsidR="009207BA" w:rsidRPr="00E33C46">
        <w:rPr>
          <w:rFonts w:ascii="Verdana" w:hAnsi="Verdana"/>
          <w:b/>
          <w:bCs/>
          <w:color w:val="000000" w:themeColor="text1"/>
          <w:sz w:val="22"/>
          <w:szCs w:val="22"/>
        </w:rPr>
        <w:t xml:space="preserve">. </w:t>
      </w:r>
      <w:r w:rsidRPr="00E33C46">
        <w:rPr>
          <w:rFonts w:ascii="Verdana" w:hAnsi="Verdana"/>
          <w:b/>
          <w:bCs/>
          <w:color w:val="000000" w:themeColor="text1"/>
          <w:sz w:val="22"/>
          <w:szCs w:val="22"/>
        </w:rPr>
        <w:t>Se acoge esta pretensión como pauta general de actuación, dentro de su correcto alcance jurídico</w:t>
      </w:r>
      <w:r w:rsidR="009207BA" w:rsidRPr="00E33C46">
        <w:rPr>
          <w:rFonts w:ascii="Verdana" w:hAnsi="Verdana"/>
          <w:b/>
          <w:bCs/>
          <w:color w:val="000000" w:themeColor="text1"/>
          <w:sz w:val="22"/>
          <w:szCs w:val="22"/>
        </w:rPr>
        <w:t>:</w:t>
      </w:r>
      <w:r w:rsidRPr="00E33C46">
        <w:rPr>
          <w:rFonts w:ascii="Verdana" w:hAnsi="Verdana"/>
          <w:b/>
          <w:color w:val="000000" w:themeColor="text1"/>
          <w:sz w:val="22"/>
          <w:szCs w:val="22"/>
        </w:rPr>
        <w:t xml:space="preserve"> </w:t>
      </w:r>
      <w:r w:rsidRPr="00E33C46">
        <w:rPr>
          <w:rFonts w:ascii="Verdana" w:hAnsi="Verdana"/>
          <w:color w:val="000000" w:themeColor="text1"/>
          <w:sz w:val="22"/>
          <w:szCs w:val="22"/>
        </w:rPr>
        <w:t>El Ministerio del Interior reafirma que sus actuaciones deben orientarse por la buena fe, la dignidad humana, la igualdad material, la protección integral de la familia, la corresponsabilidad parental, el interés superior de los niños y la prevalencia del derecho sustancial.</w:t>
      </w:r>
    </w:p>
    <w:p w14:paraId="33BA9822" w14:textId="77777777" w:rsidR="009207BA" w:rsidRPr="00E33C46" w:rsidRDefault="009207BA" w:rsidP="00E33C46">
      <w:pPr>
        <w:jc w:val="both"/>
        <w:rPr>
          <w:rFonts w:ascii="Verdana" w:hAnsi="Verdana"/>
          <w:sz w:val="22"/>
          <w:szCs w:val="22"/>
        </w:rPr>
      </w:pPr>
    </w:p>
    <w:p w14:paraId="60C5DC6A" w14:textId="77777777" w:rsidR="009207BA" w:rsidRPr="00E33C46" w:rsidRDefault="0098390B" w:rsidP="00E33C46">
      <w:pPr>
        <w:jc w:val="both"/>
        <w:rPr>
          <w:rFonts w:ascii="Verdana" w:hAnsi="Verdana"/>
          <w:sz w:val="22"/>
          <w:szCs w:val="22"/>
        </w:rPr>
      </w:pPr>
      <w:r w:rsidRPr="00E33C46">
        <w:rPr>
          <w:rFonts w:ascii="Verdana" w:hAnsi="Verdana"/>
          <w:sz w:val="22"/>
          <w:szCs w:val="22"/>
        </w:rPr>
        <w:lastRenderedPageBreak/>
        <w:t xml:space="preserve">En virtud de tales mandatos, la Entidad deberá actuar de manera coherente, transparente y respetuosa frente a la situación puesta en su conocimiento, absteniéndose de atribuir al embarazo de la compañera permanente cualquier consecuencia desfavorable o discriminatoria para el contratista. </w:t>
      </w:r>
    </w:p>
    <w:p w14:paraId="6B914BFE" w14:textId="77777777" w:rsidR="009207BA" w:rsidRPr="00E33C46" w:rsidRDefault="009207BA" w:rsidP="00E33C46">
      <w:pPr>
        <w:jc w:val="both"/>
        <w:rPr>
          <w:rFonts w:ascii="Verdana" w:hAnsi="Verdana"/>
          <w:sz w:val="22"/>
          <w:szCs w:val="22"/>
        </w:rPr>
      </w:pPr>
    </w:p>
    <w:p w14:paraId="46ABE0F1" w14:textId="77777777" w:rsidR="00E33C46" w:rsidRPr="00E33C46" w:rsidRDefault="0098390B" w:rsidP="00E33C46">
      <w:pPr>
        <w:jc w:val="both"/>
        <w:rPr>
          <w:rFonts w:ascii="Verdana" w:hAnsi="Verdana"/>
          <w:sz w:val="22"/>
          <w:szCs w:val="22"/>
        </w:rPr>
      </w:pPr>
      <w:r w:rsidRPr="00E33C46">
        <w:rPr>
          <w:rFonts w:ascii="Verdana" w:hAnsi="Verdana"/>
          <w:sz w:val="22"/>
          <w:szCs w:val="22"/>
        </w:rPr>
        <w:t>La información aportada será tratada con la debida reserva y considerada exclusivamente para los fines administrativos y contractuales pertinentes</w:t>
      </w:r>
      <w:r w:rsidR="009207BA" w:rsidRPr="00E33C46">
        <w:rPr>
          <w:rFonts w:ascii="Verdana" w:hAnsi="Verdana"/>
          <w:sz w:val="22"/>
          <w:szCs w:val="22"/>
        </w:rPr>
        <w:t>, n</w:t>
      </w:r>
      <w:r w:rsidRPr="00E33C46">
        <w:rPr>
          <w:rFonts w:ascii="Verdana" w:hAnsi="Verdana"/>
          <w:sz w:val="22"/>
          <w:szCs w:val="22"/>
        </w:rPr>
        <w:t>o obstante, los principios invocados deben armonizarse con la legalidad, la planeación contractual, la selección objetiva, la responsabilidad administrativa, la disponibilidad presupuestal y la autonomía propia del contrato de prestación de servicios. La buena fe y la confianza legítima no sustituyen los requisitos legales de la contratación estatal, no convierten una expectativa de continuidad en un derecho adquirido y no facultan a la Administración para comprometer anticipadamente recursos o necesidades contractuales futuras.</w:t>
      </w:r>
    </w:p>
    <w:p w14:paraId="408C5864" w14:textId="77777777" w:rsidR="00E33C46" w:rsidRPr="00E33C46" w:rsidRDefault="00E33C46" w:rsidP="00E33C46">
      <w:pPr>
        <w:jc w:val="both"/>
        <w:rPr>
          <w:rFonts w:ascii="Verdana" w:hAnsi="Verdana"/>
          <w:sz w:val="22"/>
          <w:szCs w:val="22"/>
        </w:rPr>
      </w:pPr>
    </w:p>
    <w:p w14:paraId="48C4E99F" w14:textId="1BF29875" w:rsidR="0098390B" w:rsidRPr="00E33C46" w:rsidRDefault="00E33C46" w:rsidP="00E33C46">
      <w:pPr>
        <w:jc w:val="both"/>
        <w:rPr>
          <w:rFonts w:ascii="Verdana" w:hAnsi="Verdana"/>
          <w:sz w:val="22"/>
          <w:szCs w:val="22"/>
        </w:rPr>
      </w:pPr>
      <w:r w:rsidRPr="00E33C46">
        <w:rPr>
          <w:rFonts w:ascii="Verdana" w:hAnsi="Verdana"/>
          <w:sz w:val="22"/>
          <w:szCs w:val="22"/>
        </w:rPr>
        <w:t>Por lo tanto</w:t>
      </w:r>
      <w:r w:rsidR="0098390B" w:rsidRPr="00E33C46">
        <w:rPr>
          <w:rFonts w:ascii="Verdana" w:hAnsi="Verdana"/>
          <w:sz w:val="22"/>
          <w:szCs w:val="22"/>
        </w:rPr>
        <w:t>, los principios constitucionales invocados serán observados como parámetros efectivos de interpretación y actuación, pero no con el alcance de imponer una continuidad automática del vínculo ni de relevar a la Entidad del cumplimiento de las exigencias constitucionales, legales, técnicas y presupuestales que gobiernan cualquier prórroga o nueva contratación.</w:t>
      </w:r>
    </w:p>
    <w:p w14:paraId="6761A1AE" w14:textId="77777777" w:rsidR="00E33C46" w:rsidRPr="00E33C46" w:rsidRDefault="00E33C46" w:rsidP="00E33C46">
      <w:pPr>
        <w:jc w:val="both"/>
        <w:rPr>
          <w:rFonts w:ascii="Verdana" w:hAnsi="Verdana"/>
          <w:sz w:val="22"/>
          <w:szCs w:val="22"/>
        </w:rPr>
      </w:pPr>
    </w:p>
    <w:p w14:paraId="44965AAB" w14:textId="44CF7FAB" w:rsidR="0098390B" w:rsidRPr="00E33C46" w:rsidRDefault="0098390B" w:rsidP="00E33C46">
      <w:pPr>
        <w:jc w:val="both"/>
        <w:rPr>
          <w:rFonts w:ascii="Verdana" w:hAnsi="Verdana"/>
          <w:sz w:val="22"/>
          <w:szCs w:val="22"/>
        </w:rPr>
      </w:pPr>
      <w:r w:rsidRPr="00E33C46">
        <w:rPr>
          <w:rFonts w:ascii="Verdana" w:hAnsi="Verdana"/>
          <w:sz w:val="22"/>
          <w:szCs w:val="22"/>
        </w:rPr>
        <w:t>En conclusión, el Ministerio del Interior reconoce la recepción de la notificación y la relevancia constitucional de la situación familiar informada; ordena su incorporación al expediente contractual; y garantiza que cualquier actuación concreta será examinada de forma objetiva, motivada, no discriminatoria y conforme al ordenamiento jurídico.</w:t>
      </w:r>
    </w:p>
    <w:p w14:paraId="543F392E" w14:textId="77777777" w:rsidR="00E33C46" w:rsidRPr="00E33C46" w:rsidRDefault="00E33C46" w:rsidP="00E33C46">
      <w:pPr>
        <w:jc w:val="both"/>
        <w:rPr>
          <w:rFonts w:ascii="Verdana" w:hAnsi="Verdana"/>
          <w:sz w:val="22"/>
          <w:szCs w:val="22"/>
        </w:rPr>
      </w:pPr>
    </w:p>
    <w:p w14:paraId="57211C13" w14:textId="30790A9C" w:rsidR="0098390B" w:rsidRPr="00E33C46" w:rsidRDefault="00E33C46" w:rsidP="00E33C46">
      <w:pPr>
        <w:jc w:val="both"/>
        <w:rPr>
          <w:rFonts w:ascii="Verdana" w:hAnsi="Verdana"/>
          <w:sz w:val="22"/>
          <w:szCs w:val="22"/>
        </w:rPr>
      </w:pPr>
      <w:r w:rsidRPr="00E33C46">
        <w:rPr>
          <w:rFonts w:ascii="Verdana" w:hAnsi="Verdana"/>
          <w:sz w:val="22"/>
          <w:szCs w:val="22"/>
        </w:rPr>
        <w:t>Sin embargo</w:t>
      </w:r>
      <w:r w:rsidR="0098390B" w:rsidRPr="00E33C46">
        <w:rPr>
          <w:rFonts w:ascii="Verdana" w:hAnsi="Verdana"/>
          <w:sz w:val="22"/>
          <w:szCs w:val="22"/>
        </w:rPr>
        <w:t>,</w:t>
      </w:r>
      <w:r w:rsidRPr="00E33C46">
        <w:rPr>
          <w:rFonts w:ascii="Verdana" w:hAnsi="Verdana"/>
          <w:sz w:val="22"/>
          <w:szCs w:val="22"/>
        </w:rPr>
        <w:t xml:space="preserve"> como ya quedó explicado en los párrafos precedentes</w:t>
      </w:r>
      <w:r w:rsidR="0098390B" w:rsidRPr="00E33C46">
        <w:rPr>
          <w:rFonts w:ascii="Verdana" w:hAnsi="Verdana"/>
          <w:sz w:val="22"/>
          <w:szCs w:val="22"/>
        </w:rPr>
        <w:t xml:space="preserve"> no resulta jurídicamente procedente declarar que la sola notificación del embarazo de la compañera permanente activa, respecto de un contratista estatal, una garantía automática de permanencia, prórroga o renovación del Contrato No. 557 de 2026. El vínculo continuará ejecutándose hasta el término y bajo las condiciones pactadas</w:t>
      </w:r>
      <w:r w:rsidRPr="00E33C46">
        <w:rPr>
          <w:rFonts w:ascii="Verdana" w:hAnsi="Verdana"/>
          <w:sz w:val="22"/>
          <w:szCs w:val="22"/>
        </w:rPr>
        <w:t xml:space="preserve"> entre las partes.</w:t>
      </w:r>
    </w:p>
    <w:p w14:paraId="28012BD7" w14:textId="77777777" w:rsidR="00E33C46" w:rsidRPr="00E33C46" w:rsidRDefault="00E33C46" w:rsidP="00E33C46">
      <w:pPr>
        <w:jc w:val="both"/>
        <w:rPr>
          <w:rFonts w:ascii="Verdana" w:hAnsi="Verdana"/>
          <w:sz w:val="22"/>
          <w:szCs w:val="22"/>
        </w:rPr>
      </w:pPr>
    </w:p>
    <w:p w14:paraId="2C3EE975" w14:textId="14269A7B" w:rsidR="0098390B" w:rsidRPr="00E33C46" w:rsidRDefault="0098390B" w:rsidP="00E33C46">
      <w:pPr>
        <w:jc w:val="both"/>
        <w:rPr>
          <w:rFonts w:ascii="Verdana" w:hAnsi="Verdana"/>
          <w:sz w:val="22"/>
          <w:szCs w:val="22"/>
        </w:rPr>
      </w:pPr>
      <w:r w:rsidRPr="00E33C46">
        <w:rPr>
          <w:rFonts w:ascii="Verdana" w:hAnsi="Verdana"/>
          <w:sz w:val="22"/>
          <w:szCs w:val="22"/>
        </w:rPr>
        <w:t>La presente respuesta se emite sin desconocer la protección integral de la familia ni los derechos de la mujer gestante, del niño ya nacido y del nasciturus; precisamente por respeto a esos mandatos, su alcance se define con rigor, evitando confundir la tutela constitucional contra la discriminación con la creación de una obligación contractual futura que no se desprende, de manera automática, de la Constitución, la ley o los precedentes citados.</w:t>
      </w:r>
    </w:p>
    <w:p w14:paraId="048EFE35" w14:textId="77777777" w:rsidR="0098390B" w:rsidRPr="00E33C46" w:rsidRDefault="0098390B" w:rsidP="00E33C46">
      <w:pPr>
        <w:jc w:val="both"/>
        <w:rPr>
          <w:rFonts w:ascii="Verdana" w:hAnsi="Verdana"/>
          <w:sz w:val="22"/>
          <w:szCs w:val="22"/>
        </w:rPr>
      </w:pPr>
      <w:r w:rsidRPr="00E33C46">
        <w:rPr>
          <w:rFonts w:ascii="Verdana" w:hAnsi="Verdana"/>
          <w:sz w:val="22"/>
          <w:szCs w:val="22"/>
        </w:rPr>
        <w:lastRenderedPageBreak/>
        <w:t>Con lo anterior se atiende de manera integral y de fondo la petición formulada, en los términos del artículo 23 de la Constitución Política y de la Ley 1755 de 2015.</w:t>
      </w:r>
    </w:p>
    <w:p w14:paraId="399DFBC5" w14:textId="77777777" w:rsidR="00E33C46" w:rsidRPr="00E33C46" w:rsidRDefault="00E33C46" w:rsidP="00E33C46">
      <w:pPr>
        <w:spacing w:after="560"/>
        <w:jc w:val="both"/>
        <w:rPr>
          <w:rFonts w:ascii="Verdana" w:hAnsi="Verdana"/>
          <w:sz w:val="22"/>
          <w:szCs w:val="22"/>
        </w:rPr>
      </w:pPr>
    </w:p>
    <w:p w14:paraId="7CBADC6A" w14:textId="2E98DE89" w:rsidR="0098390B" w:rsidRPr="00E33C46" w:rsidRDefault="0098390B" w:rsidP="00E33C46">
      <w:pPr>
        <w:spacing w:after="560"/>
        <w:jc w:val="both"/>
        <w:rPr>
          <w:rFonts w:ascii="Verdana" w:hAnsi="Verdana"/>
          <w:sz w:val="22"/>
          <w:szCs w:val="22"/>
        </w:rPr>
      </w:pPr>
      <w:r w:rsidRPr="00E33C46">
        <w:rPr>
          <w:rFonts w:ascii="Verdana" w:hAnsi="Verdana"/>
          <w:sz w:val="22"/>
          <w:szCs w:val="22"/>
        </w:rPr>
        <w:t>Cordialmente,</w:t>
      </w:r>
    </w:p>
    <w:p w14:paraId="38A604F1" w14:textId="77777777" w:rsidR="0098390B" w:rsidRPr="00E33C46" w:rsidRDefault="0098390B" w:rsidP="00E33C46">
      <w:pPr>
        <w:pStyle w:val="isselectedend"/>
        <w:spacing w:before="0" w:beforeAutospacing="0" w:after="0" w:afterAutospacing="0" w:line="276" w:lineRule="auto"/>
        <w:jc w:val="both"/>
        <w:rPr>
          <w:rFonts w:ascii="Verdana" w:hAnsi="Verdana"/>
          <w:sz w:val="22"/>
          <w:szCs w:val="22"/>
        </w:rPr>
      </w:pPr>
      <w:r w:rsidRPr="00E33C46">
        <w:rPr>
          <w:rFonts w:ascii="Verdana" w:hAnsi="Verdana"/>
          <w:b/>
          <w:bCs/>
          <w:sz w:val="22"/>
          <w:szCs w:val="22"/>
        </w:rPr>
        <w:t>NANCY STELLA PATIÑO LEÓN</w:t>
      </w:r>
    </w:p>
    <w:p w14:paraId="54186DDD" w14:textId="77777777" w:rsidR="0098390B" w:rsidRPr="00E33C46" w:rsidRDefault="0098390B" w:rsidP="00E33C46">
      <w:pPr>
        <w:pStyle w:val="isselectedend"/>
        <w:spacing w:before="0" w:beforeAutospacing="0" w:after="0" w:afterAutospacing="0" w:line="276" w:lineRule="auto"/>
        <w:jc w:val="both"/>
        <w:rPr>
          <w:rFonts w:ascii="Verdana" w:hAnsi="Verdana"/>
          <w:sz w:val="22"/>
          <w:szCs w:val="22"/>
        </w:rPr>
      </w:pPr>
      <w:r w:rsidRPr="00E33C46">
        <w:rPr>
          <w:rFonts w:ascii="Verdana" w:hAnsi="Verdana"/>
          <w:sz w:val="22"/>
          <w:szCs w:val="22"/>
        </w:rPr>
        <w:t>Secretaria General.</w:t>
      </w:r>
    </w:p>
    <w:p w14:paraId="483B88BB" w14:textId="77777777" w:rsidR="0098390B" w:rsidRPr="00E33C46" w:rsidRDefault="0098390B" w:rsidP="00E33C46">
      <w:pPr>
        <w:spacing w:line="276" w:lineRule="auto"/>
        <w:jc w:val="both"/>
        <w:rPr>
          <w:rFonts w:ascii="Verdana" w:hAnsi="Verdana"/>
          <w:sz w:val="20"/>
        </w:rPr>
      </w:pPr>
    </w:p>
    <w:p w14:paraId="2EF958C8" w14:textId="77777777" w:rsidR="0098390B" w:rsidRPr="00E33C46" w:rsidRDefault="0098390B" w:rsidP="00E33C46">
      <w:pPr>
        <w:spacing w:line="276" w:lineRule="auto"/>
        <w:jc w:val="both"/>
        <w:rPr>
          <w:rFonts w:ascii="Verdana" w:hAnsi="Verdana"/>
          <w:sz w:val="20"/>
        </w:rPr>
      </w:pPr>
    </w:p>
    <w:p w14:paraId="2ECFCB3F" w14:textId="77777777" w:rsidR="0098390B" w:rsidRPr="00E33C46" w:rsidRDefault="0098390B" w:rsidP="00E33C46">
      <w:pPr>
        <w:spacing w:line="276" w:lineRule="auto"/>
        <w:jc w:val="both"/>
        <w:rPr>
          <w:rFonts w:ascii="Verdana" w:hAnsi="Verdana"/>
          <w:sz w:val="20"/>
        </w:rPr>
      </w:pPr>
      <w:r w:rsidRPr="00E33C46">
        <w:rPr>
          <w:rFonts w:ascii="Verdana" w:hAnsi="Verdana"/>
          <w:sz w:val="20"/>
        </w:rPr>
        <w:t>Proyectó. Alejandro Franco Castaño. Asesor.</w:t>
      </w:r>
    </w:p>
    <w:p w14:paraId="74B4FA83" w14:textId="77777777" w:rsidR="0098390B" w:rsidRPr="00E33C46" w:rsidRDefault="0098390B" w:rsidP="00E33C46">
      <w:pPr>
        <w:jc w:val="both"/>
        <w:rPr>
          <w:rFonts w:ascii="Verdana" w:hAnsi="Verdana"/>
          <w:sz w:val="22"/>
          <w:szCs w:val="22"/>
        </w:rPr>
      </w:pPr>
    </w:p>
    <w:p w14:paraId="62A4D7C4" w14:textId="77777777" w:rsidR="00CD1BB6" w:rsidRPr="00E33C46" w:rsidRDefault="00CD1BB6" w:rsidP="00E33C46">
      <w:pPr>
        <w:jc w:val="both"/>
        <w:rPr>
          <w:rFonts w:ascii="Verdana" w:hAnsi="Verdana"/>
          <w:sz w:val="22"/>
          <w:szCs w:val="22"/>
        </w:rPr>
      </w:pPr>
    </w:p>
    <w:sectPr w:rsidR="00CD1BB6" w:rsidRPr="00E33C46" w:rsidSect="0098390B">
      <w:headerReference w:type="default" r:id="rId6"/>
      <w:footerReference w:type="default" r:id="rId7"/>
      <w:pgSz w:w="12240" w:h="15840"/>
      <w:pgMar w:top="2127" w:right="1701" w:bottom="1512"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F2EC2E" w14:textId="77777777" w:rsidR="00000000" w:rsidRDefault="00000000">
    <w:pPr>
      <w:pStyle w:val="Piedepgina"/>
      <w:jc w:val="right"/>
    </w:pPr>
    <w:r>
      <w:rPr>
        <w:noProof/>
      </w:rPr>
      <mc:AlternateContent>
        <mc:Choice Requires="wps">
          <w:drawing>
            <wp:anchor distT="0" distB="0" distL="114300" distR="114300" simplePos="0" relativeHeight="251660288" behindDoc="0" locked="0" layoutInCell="1" allowOverlap="1" wp14:anchorId="319DFE05" wp14:editId="1526D132">
              <wp:simplePos x="0" y="0"/>
              <wp:positionH relativeFrom="margin">
                <wp:align>center</wp:align>
              </wp:positionH>
              <wp:positionV relativeFrom="paragraph">
                <wp:posOffset>-235585</wp:posOffset>
              </wp:positionV>
              <wp:extent cx="6029325" cy="955675"/>
              <wp:effectExtent l="0" t="0" r="0" b="0"/>
              <wp:wrapNone/>
              <wp:docPr id="2" name="_x0000_s00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029325" cy="955675"/>
                      </a:xfrm>
                      <a:prstGeom prst="rect">
                        <a:avLst/>
                      </a:prstGeom>
                      <a:noFill/>
                      <a:ln>
                        <a:noFill/>
                      </a:ln>
                    </wps:spPr>
                    <wps:txbx>
                      <w:txbxContent>
                        <w:p w14:paraId="5DFB707E" w14:textId="77777777" w:rsidR="00000000" w:rsidRDefault="00000000">
                          <w:pPr>
                            <w:spacing w:line="276" w:lineRule="auto"/>
                            <w:jc w:val="both"/>
                            <w:rPr>
                              <w:rFonts w:ascii="Verdana" w:hAnsi="Verdana"/>
                              <w:sz w:val="20"/>
                            </w:rPr>
                          </w:pPr>
                          <w:r>
                            <w:rPr>
                              <w:rFonts w:ascii="Verdana" w:hAnsi="Verdana"/>
                              <w:sz w:val="20"/>
                            </w:rPr>
                            <w:t>________________________________________________________________________</w:t>
                          </w:r>
                        </w:p>
                        <w:p w14:paraId="12178A30" w14:textId="77777777" w:rsidR="00000000" w:rsidRDefault="00000000">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C1D02F2" w14:textId="77777777" w:rsidR="00000000" w:rsidRDefault="00000000">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7006B788" w14:textId="77777777" w:rsidR="00000000" w:rsidRDefault="00000000">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4CBBD065" w14:textId="77777777" w:rsidR="00000000" w:rsidRDefault="00000000">
                          <w:pPr>
                            <w:spacing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5C36936C" w14:textId="77777777" w:rsidR="00000000" w:rsidRDefault="00000000">
                          <w:pPr>
                            <w:spacing w:line="276" w:lineRule="auto"/>
                            <w:jc w:val="both"/>
                            <w:rPr>
                              <w:rFonts w:ascii="Helvetica Light" w:hAnsi="Helvetica Light"/>
                              <w:sz w:val="18"/>
                            </w:rPr>
                          </w:pPr>
                          <w:r>
                            <w:rPr>
                              <w:rFonts w:ascii="Helvetica Light" w:hAnsi="Helvetica Light"/>
                              <w:sz w:val="18"/>
                            </w:rPr>
                            <w:t>www.mininterior.gov.co</w:t>
                          </w:r>
                        </w:p>
                        <w:p w14:paraId="34C2832E" w14:textId="77777777" w:rsidR="00000000" w:rsidRDefault="00000000">
                          <w:pPr>
                            <w:spacing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319DFE05" id="_x0000_s0002" o:spid="_x0000_s1026" style="position:absolute;left:0;text-align:left;margin-left:0;margin-top:-18.55pt;width:474.75pt;height:75.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hyMsgEAAFcDAAAOAAAAZHJzL2Uyb0RvYy54bWysU9uO0zAQfUfiHyy/06Sh6dKo6WrFahHS&#13;&#10;ClZa+ADXsRuL2GM8bpP+PWO32y3whnixPBefOXNmvL6d7MAOKqAB1/L5rORMOQmdcbuWf//28O4D&#13;&#10;ZxiF68QATrX8qJDfbt6+WY++URX0MHQqMAJx2Iy+5X2MvikKlL2yAmfglaOghmBFJDPsii6IkdDt&#13;&#10;UFRluSxGCJ0PIBUiee9PQb7J+ForGb9qjSqyoeXELeYz5HObzmKzFs0uCN8beaYh/oGFFcZR0QvU&#13;&#10;vYiC7YP5C8oaGQBBx5kEW4DWRqrcA3UzL//o5rkXXuVeSBz0F5nw/8HKL4dn/xQSdfSPIH8gc/Cx&#13;&#10;F26n7tCTfDTUJFIxemwuycnA87NJB5ueUy9sysIeL8KqKTJJzmVZrd5XNWeSYqu6Xt7UGVQ0L699&#13;&#10;wPhJgWXp0vJAlbOe4vCIMdUXzUtKKubgwQxDHt7gfnNQYvJkvieKiWycthNlp+sWuuNTYCPNvOX4&#13;&#10;cy+C4mz47EjU1XyxSEuSjUV9U5ERriPb64hwsgdapRNRB3f7CNpksq91zkxoermH86al9bi2c9br&#13;&#10;f9j8AgAA//8DAFBLAwQUAAYACAAAACEAWFCP3OUAAAANAQAADwAAAGRycy9kb3ducmV2LnhtbEyP&#13;&#10;T0vDQBDF74LfYRnBi7Sb2PqnaTZFKmIRoZhqz9vsmASzs2l2m8Rv73jSy8Dw3rx5v3Q12kb02Pna&#13;&#10;kYJ4GoFAKpypqVTwvnua3IPwQZPRjSNU8I0eVtn5WaoT4wZ6wz4PpeAQ8olWUIXQJlL6okKr/dS1&#13;&#10;SKx9us7qwGtXStPpgcNtI6+j6FZaXRN/qHSL6wqLr/xkFQzFtt/vXp/l9mq/cXTcHNf5x4tSlxfj&#13;&#10;45LHwxJEwDH8XcAvA/eHjIsd3ImMF40CpgkKJrO7GATLi/niBsSBffFsDjJL5X+K7AcAAP//AwBQ&#13;&#10;SwECLQAUAAYACAAAACEAtoM4kv4AAADhAQAAEwAAAAAAAAAAAAAAAAAAAAAAW0NvbnRlbnRfVHlw&#13;&#10;ZXNdLnhtbFBLAQItABQABgAIAAAAIQA4/SH/1gAAAJQBAAALAAAAAAAAAAAAAAAAAC8BAABfcmVs&#13;&#10;cy8ucmVsc1BLAQItABQABgAIAAAAIQASQhyMsgEAAFcDAAAOAAAAAAAAAAAAAAAAAC4CAABkcnMv&#13;&#10;ZTJvRG9jLnhtbFBLAQItABQABgAIAAAAIQBYUI/c5QAAAA0BAAAPAAAAAAAAAAAAAAAAAAwEAABk&#13;&#10;cnMvZG93bnJldi54bWxQSwUGAAAAAAQABADzAAAAHgUAAAAA&#13;&#10;" filled="f" stroked="f">
              <o:lock v:ext="edit" aspectratio="t"/>
              <v:textbox>
                <w:txbxContent>
                  <w:p w14:paraId="5DFB707E" w14:textId="77777777" w:rsidR="00000000" w:rsidRDefault="00000000">
                    <w:pPr>
                      <w:spacing w:line="276" w:lineRule="auto"/>
                      <w:jc w:val="both"/>
                      <w:rPr>
                        <w:rFonts w:ascii="Verdana" w:hAnsi="Verdana"/>
                        <w:sz w:val="20"/>
                      </w:rPr>
                    </w:pPr>
                    <w:r>
                      <w:rPr>
                        <w:rFonts w:ascii="Verdana" w:hAnsi="Verdana"/>
                        <w:sz w:val="20"/>
                      </w:rPr>
                      <w:t>________________________________________________________________________</w:t>
                    </w:r>
                  </w:p>
                  <w:p w14:paraId="12178A30" w14:textId="77777777" w:rsidR="00000000" w:rsidRDefault="00000000">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C1D02F2" w14:textId="77777777" w:rsidR="00000000" w:rsidRDefault="00000000">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7006B788" w14:textId="77777777" w:rsidR="00000000" w:rsidRDefault="00000000">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4CBBD065" w14:textId="77777777" w:rsidR="00000000" w:rsidRDefault="00000000">
                    <w:pPr>
                      <w:spacing w:line="276" w:lineRule="auto"/>
                      <w:jc w:val="both"/>
                      <w:rPr>
                        <w:rFonts w:ascii="Helvetica Light" w:hAnsi="Helvetica Light"/>
                        <w:sz w:val="18"/>
                      </w:rPr>
                    </w:pPr>
                    <w:hyperlink r:id="rId2" w:history="1">
                      <w:r>
                        <w:rPr>
                          <w:rFonts w:ascii="Helvetica Light" w:hAnsi="Helvetica Light"/>
                          <w:sz w:val="18"/>
                        </w:rPr>
                        <w:t>servicioalciudadano@mininterior.gov.co</w:t>
                      </w:r>
                    </w:hyperlink>
                  </w:p>
                  <w:p w14:paraId="5C36936C" w14:textId="77777777" w:rsidR="00000000" w:rsidRDefault="00000000">
                    <w:pPr>
                      <w:spacing w:line="276" w:lineRule="auto"/>
                      <w:jc w:val="both"/>
                      <w:rPr>
                        <w:rFonts w:ascii="Helvetica Light" w:hAnsi="Helvetica Light"/>
                        <w:sz w:val="18"/>
                      </w:rPr>
                    </w:pPr>
                    <w:r>
                      <w:rPr>
                        <w:rFonts w:ascii="Helvetica Light" w:hAnsi="Helvetica Light"/>
                        <w:sz w:val="18"/>
                      </w:rPr>
                      <w:t>www.mininterior.gov.co</w:t>
                    </w:r>
                  </w:p>
                  <w:p w14:paraId="34C2832E" w14:textId="77777777" w:rsidR="00000000" w:rsidRDefault="00000000">
                    <w:pPr>
                      <w:spacing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785B827D" w14:textId="77777777" w:rsidR="00000000" w:rsidRDefault="00000000">
    <w:pPr>
      <w:spacing w:line="276" w:lineRule="auto"/>
      <w:jc w:val="both"/>
      <w:rPr>
        <w:rFonts w:ascii="Helvetica" w:hAnsi="Helvetica"/>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8D0CEA" w14:textId="77777777" w:rsidR="00000000" w:rsidRDefault="00000000">
    <w:pPr>
      <w:pStyle w:val="Encabezado"/>
    </w:pPr>
    <w:r>
      <w:rPr>
        <w:noProof/>
        <w:lang w:eastAsia="es-CO"/>
      </w:rPr>
      <w:drawing>
        <wp:anchor distT="0" distB="0" distL="114300" distR="114300" simplePos="0" relativeHeight="251659264" behindDoc="1" locked="0" layoutInCell="1" allowOverlap="1" wp14:anchorId="387F96F0" wp14:editId="11CE479D">
          <wp:simplePos x="0" y="0"/>
          <wp:positionH relativeFrom="margin">
            <wp:align>left</wp:align>
          </wp:positionH>
          <wp:positionV relativeFrom="paragraph">
            <wp:posOffset>-67310</wp:posOffset>
          </wp:positionV>
          <wp:extent cx="1234440" cy="1057910"/>
          <wp:effectExtent l="0" t="0" r="0" b="0"/>
          <wp:wrapNone/>
          <wp:docPr id="1" name="_x0000_s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523527AD" w14:textId="77777777" w:rsidR="00000000" w:rsidRDefault="00000000">
    <w:pPr>
      <w:pStyle w:val="Encabezado"/>
    </w:pPr>
  </w:p>
  <w:p w14:paraId="5C3FFA4D" w14:textId="77777777" w:rsidR="00000000" w:rsidRDefault="00000000">
    <w:pPr>
      <w:pStyle w:val="Encabezado"/>
    </w:pPr>
  </w:p>
  <w:p w14:paraId="1D724FBD" w14:textId="77777777" w:rsidR="00000000" w:rsidRDefault="00000000">
    <w:pPr>
      <w:pStyle w:val="Encabezado"/>
    </w:pPr>
  </w:p>
  <w:p w14:paraId="4569D17D" w14:textId="77777777" w:rsidR="00000000" w:rsidRDefault="00000000">
    <w:pPr>
      <w:pStyle w:val="Encabezado"/>
    </w:pPr>
  </w:p>
  <w:p w14:paraId="07967B5C" w14:textId="77777777" w:rsidR="00000000" w:rsidRDefault="00000000">
    <w:pPr>
      <w:pStyle w:val="Encabezado"/>
    </w:pPr>
  </w:p>
  <w:p w14:paraId="33072ED2" w14:textId="77777777" w:rsidR="00000000" w:rsidRDefault="00000000">
    <w:pPr>
      <w:pStyle w:val="Encabezado"/>
    </w:pPr>
  </w:p>
  <w:p w14:paraId="359C032F" w14:textId="77777777" w:rsidR="00000000" w:rsidRDefault="00000000">
    <w:pPr>
      <w:pStyle w:val="Encabezado"/>
    </w:pP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CB0317" w14:paraId="568D7A85" w14:textId="77777777">
      <w:trPr>
        <w:trHeight w:val="1408"/>
      </w:trPr>
      <w:tc>
        <w:tcPr>
          <w:tcW w:w="4537" w:type="dxa"/>
        </w:tcPr>
        <w:p w14:paraId="3D32F432" w14:textId="77777777" w:rsidR="00000000" w:rsidRDefault="00000000">
          <w:pPr>
            <w:pStyle w:val="Encabezado"/>
            <w:tabs>
              <w:tab w:val="clear" w:pos="4419"/>
              <w:tab w:val="left" w:pos="7500"/>
            </w:tabs>
            <w:jc w:val="center"/>
            <w:rPr>
              <w:rFonts w:ascii="Helvetica Light" w:hAnsi="Helvetica Light"/>
              <w:sz w:val="18"/>
              <w:lang w:val="pt-BR" w:eastAsia="es-CO"/>
            </w:rPr>
          </w:pPr>
          <w:r>
            <w:rPr>
              <w:rFonts w:ascii="Helvetica Light" w:hAnsi="Helvetica Light"/>
              <w:sz w:val="18"/>
              <w:highlight w:val="white"/>
              <w:lang w:val="pt-BR"/>
            </w:rPr>
            <w:t>R3DkODE-39</w:t>
          </w:r>
        </w:p>
        <w:p w14:paraId="66CEFF00" w14:textId="77777777" w:rsidR="00000000" w:rsidRDefault="00000000">
          <w:pPr>
            <w:pStyle w:val="Encabezado"/>
            <w:tabs>
              <w:tab w:val="clear" w:pos="4419"/>
              <w:tab w:val="left" w:pos="7500"/>
            </w:tabs>
            <w:jc w:val="center"/>
            <w:rPr>
              <w:rFonts w:ascii="Helvetica Light" w:hAnsi="Helvetica Light"/>
              <w:sz w:val="18"/>
              <w:lang w:val="pt-BR"/>
            </w:rPr>
          </w:pPr>
        </w:p>
        <w:p w14:paraId="2E197EDD"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R4D1C4D0_1</w:t>
          </w:r>
        </w:p>
        <w:p w14:paraId="2324B24A"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R4D1C4D0_2</w:t>
          </w:r>
        </w:p>
        <w:p w14:paraId="51D877BB"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R4D1C4D0_3</w:t>
          </w:r>
        </w:p>
        <w:p w14:paraId="78761945"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R4D1C4D0_4</w:t>
          </w:r>
        </w:p>
        <w:p w14:paraId="65B47230" w14:textId="77777777" w:rsidR="00000000" w:rsidRDefault="00000000">
          <w:pPr>
            <w:pStyle w:val="Encabezado"/>
          </w:pPr>
          <w:r>
            <w:rPr>
              <w:rFonts w:ascii="Helvetica Light" w:hAnsi="Helvetica Light"/>
              <w:sz w:val="14"/>
            </w:rPr>
            <w:t>R4D1C4D0_5</w:t>
          </w:r>
        </w:p>
      </w:tc>
    </w:tr>
  </w:tbl>
  <w:p w14:paraId="0CA22D6A" w14:textId="77777777" w:rsidR="00000000" w:rsidRDefault="000000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4FD4E908"/>
    <w:lvl w:ilvl="0">
      <w:start w:val="1"/>
      <w:numFmt w:val="bullet"/>
      <w:pStyle w:val="Listaconvietas"/>
      <w:lvlText w:val=""/>
      <w:lvlJc w:val="left"/>
      <w:pPr>
        <w:tabs>
          <w:tab w:val="num" w:pos="360"/>
        </w:tabs>
        <w:ind w:left="360" w:hanging="360"/>
      </w:pPr>
      <w:rPr>
        <w:rFonts w:ascii="Symbol" w:hAnsi="Symbol" w:hint="default"/>
      </w:rPr>
    </w:lvl>
  </w:abstractNum>
  <w:num w:numId="1" w16cid:durableId="124295604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90B"/>
    <w:rsid w:val="000F3776"/>
    <w:rsid w:val="00136568"/>
    <w:rsid w:val="0033473F"/>
    <w:rsid w:val="006273D1"/>
    <w:rsid w:val="007947F6"/>
    <w:rsid w:val="009207BA"/>
    <w:rsid w:val="0098390B"/>
    <w:rsid w:val="00CD1BB6"/>
    <w:rsid w:val="00D34AC6"/>
    <w:rsid w:val="00E33C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297C1026"/>
  <w15:chartTrackingRefBased/>
  <w15:docId w15:val="{D8FA7390-A789-A946-951B-6C376534A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90B"/>
    <w:pPr>
      <w:spacing w:after="0" w:line="240" w:lineRule="auto"/>
    </w:pPr>
    <w:rPr>
      <w:rFonts w:ascii="Times New Roman" w:eastAsia="Times New Roman" w:hAnsi="Times New Roman" w:cs="Times New Roman"/>
      <w:kern w:val="0"/>
      <w:szCs w:val="20"/>
      <w:lang w:eastAsia="es-CO"/>
      <w14:ligatures w14:val="none"/>
    </w:rPr>
  </w:style>
  <w:style w:type="paragraph" w:styleId="Ttulo1">
    <w:name w:val="heading 1"/>
    <w:basedOn w:val="Normal"/>
    <w:next w:val="Normal"/>
    <w:link w:val="Ttulo1Car"/>
    <w:uiPriority w:val="9"/>
    <w:qFormat/>
    <w:rsid w:val="009839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9839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8390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8390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8390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8390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8390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8390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8390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390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98390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8390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8390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8390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8390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8390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8390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8390B"/>
    <w:rPr>
      <w:rFonts w:eastAsiaTheme="majorEastAsia" w:cstheme="majorBidi"/>
      <w:color w:val="272727" w:themeColor="text1" w:themeTint="D8"/>
    </w:rPr>
  </w:style>
  <w:style w:type="paragraph" w:styleId="Ttulo">
    <w:name w:val="Title"/>
    <w:basedOn w:val="Normal"/>
    <w:next w:val="Normal"/>
    <w:link w:val="TtuloCar"/>
    <w:uiPriority w:val="10"/>
    <w:qFormat/>
    <w:rsid w:val="0098390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8390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8390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8390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8390B"/>
    <w:pPr>
      <w:spacing w:before="160"/>
      <w:jc w:val="center"/>
    </w:pPr>
    <w:rPr>
      <w:i/>
      <w:iCs/>
      <w:color w:val="404040" w:themeColor="text1" w:themeTint="BF"/>
    </w:rPr>
  </w:style>
  <w:style w:type="character" w:customStyle="1" w:styleId="CitaCar">
    <w:name w:val="Cita Car"/>
    <w:basedOn w:val="Fuentedeprrafopredeter"/>
    <w:link w:val="Cita"/>
    <w:uiPriority w:val="29"/>
    <w:rsid w:val="0098390B"/>
    <w:rPr>
      <w:i/>
      <w:iCs/>
      <w:color w:val="404040" w:themeColor="text1" w:themeTint="BF"/>
    </w:rPr>
  </w:style>
  <w:style w:type="paragraph" w:styleId="Prrafodelista">
    <w:name w:val="List Paragraph"/>
    <w:basedOn w:val="Normal"/>
    <w:uiPriority w:val="34"/>
    <w:qFormat/>
    <w:rsid w:val="0098390B"/>
    <w:pPr>
      <w:ind w:left="720"/>
      <w:contextualSpacing/>
    </w:pPr>
  </w:style>
  <w:style w:type="character" w:styleId="nfasisintenso">
    <w:name w:val="Intense Emphasis"/>
    <w:basedOn w:val="Fuentedeprrafopredeter"/>
    <w:uiPriority w:val="21"/>
    <w:qFormat/>
    <w:rsid w:val="0098390B"/>
    <w:rPr>
      <w:i/>
      <w:iCs/>
      <w:color w:val="0F4761" w:themeColor="accent1" w:themeShade="BF"/>
    </w:rPr>
  </w:style>
  <w:style w:type="paragraph" w:styleId="Citadestacada">
    <w:name w:val="Intense Quote"/>
    <w:basedOn w:val="Normal"/>
    <w:next w:val="Normal"/>
    <w:link w:val="CitadestacadaCar"/>
    <w:uiPriority w:val="30"/>
    <w:qFormat/>
    <w:rsid w:val="009839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8390B"/>
    <w:rPr>
      <w:i/>
      <w:iCs/>
      <w:color w:val="0F4761" w:themeColor="accent1" w:themeShade="BF"/>
    </w:rPr>
  </w:style>
  <w:style w:type="character" w:styleId="Referenciaintensa">
    <w:name w:val="Intense Reference"/>
    <w:basedOn w:val="Fuentedeprrafopredeter"/>
    <w:uiPriority w:val="32"/>
    <w:qFormat/>
    <w:rsid w:val="0098390B"/>
    <w:rPr>
      <w:b/>
      <w:bCs/>
      <w:smallCaps/>
      <w:color w:val="0F4761" w:themeColor="accent1" w:themeShade="BF"/>
      <w:spacing w:val="5"/>
    </w:rPr>
  </w:style>
  <w:style w:type="paragraph" w:styleId="Encabezado">
    <w:name w:val="header"/>
    <w:basedOn w:val="Normal"/>
    <w:link w:val="EncabezadoCar"/>
    <w:qFormat/>
    <w:rsid w:val="0098390B"/>
    <w:pPr>
      <w:tabs>
        <w:tab w:val="center" w:pos="4419"/>
        <w:tab w:val="right" w:pos="8838"/>
      </w:tabs>
    </w:pPr>
    <w:rPr>
      <w:rFonts w:ascii="Calibri" w:hAnsi="Calibri"/>
      <w:sz w:val="22"/>
      <w:lang w:eastAsia="en-US"/>
    </w:rPr>
  </w:style>
  <w:style w:type="character" w:customStyle="1" w:styleId="EncabezadoCar">
    <w:name w:val="Encabezado Car"/>
    <w:basedOn w:val="Fuentedeprrafopredeter"/>
    <w:link w:val="Encabezado"/>
    <w:rsid w:val="0098390B"/>
    <w:rPr>
      <w:rFonts w:ascii="Calibri" w:eastAsia="Times New Roman" w:hAnsi="Calibri" w:cs="Times New Roman"/>
      <w:kern w:val="0"/>
      <w:sz w:val="22"/>
      <w:szCs w:val="20"/>
      <w14:ligatures w14:val="none"/>
    </w:rPr>
  </w:style>
  <w:style w:type="paragraph" w:styleId="Piedepgina">
    <w:name w:val="footer"/>
    <w:basedOn w:val="Normal"/>
    <w:link w:val="PiedepginaCar"/>
    <w:qFormat/>
    <w:rsid w:val="0098390B"/>
    <w:pPr>
      <w:tabs>
        <w:tab w:val="center" w:pos="4419"/>
        <w:tab w:val="right" w:pos="8838"/>
      </w:tabs>
    </w:pPr>
    <w:rPr>
      <w:rFonts w:ascii="Calibri" w:hAnsi="Calibri"/>
      <w:sz w:val="22"/>
      <w:lang w:eastAsia="en-US"/>
    </w:rPr>
  </w:style>
  <w:style w:type="character" w:customStyle="1" w:styleId="PiedepginaCar">
    <w:name w:val="Pie de página Car"/>
    <w:basedOn w:val="Fuentedeprrafopredeter"/>
    <w:link w:val="Piedepgina"/>
    <w:rsid w:val="0098390B"/>
    <w:rPr>
      <w:rFonts w:ascii="Calibri" w:eastAsia="Times New Roman" w:hAnsi="Calibri" w:cs="Times New Roman"/>
      <w:kern w:val="0"/>
      <w:sz w:val="22"/>
      <w:szCs w:val="20"/>
      <w14:ligatures w14:val="none"/>
    </w:rPr>
  </w:style>
  <w:style w:type="paragraph" w:styleId="Sinespaciado">
    <w:name w:val="No Spacing"/>
    <w:link w:val="SinespaciadoCar"/>
    <w:qFormat/>
    <w:rsid w:val="0098390B"/>
    <w:pPr>
      <w:spacing w:after="0" w:line="240" w:lineRule="auto"/>
    </w:pPr>
    <w:rPr>
      <w:rFonts w:ascii="Calibri" w:eastAsia="Times New Roman" w:hAnsi="Calibri" w:cs="Times New Roman"/>
      <w:kern w:val="0"/>
      <w:sz w:val="22"/>
      <w:szCs w:val="20"/>
      <w14:ligatures w14:val="none"/>
    </w:rPr>
  </w:style>
  <w:style w:type="character" w:styleId="Hipervnculo">
    <w:name w:val="Hyperlink"/>
    <w:basedOn w:val="Fuentedeprrafopredeter"/>
    <w:rsid w:val="0098390B"/>
    <w:rPr>
      <w:color w:val="467886" w:themeColor="hyperlink"/>
      <w:u w:val="single"/>
    </w:rPr>
  </w:style>
  <w:style w:type="character" w:customStyle="1" w:styleId="SinespaciadoCar">
    <w:name w:val="Sin espaciado Car"/>
    <w:link w:val="Sinespaciado"/>
    <w:rsid w:val="0098390B"/>
    <w:rPr>
      <w:rFonts w:ascii="Calibri" w:eastAsia="Times New Roman" w:hAnsi="Calibri" w:cs="Times New Roman"/>
      <w:kern w:val="0"/>
      <w:sz w:val="22"/>
      <w:szCs w:val="20"/>
      <w14:ligatures w14:val="none"/>
    </w:rPr>
  </w:style>
  <w:style w:type="character" w:styleId="Fuerte">
    <w:name w:val="Strong"/>
    <w:basedOn w:val="Fuentedeprrafopredeter"/>
    <w:uiPriority w:val="22"/>
    <w:qFormat/>
    <w:rsid w:val="0098390B"/>
    <w:rPr>
      <w:b/>
    </w:rPr>
  </w:style>
  <w:style w:type="paragraph" w:customStyle="1" w:styleId="isselectedend">
    <w:name w:val="isselectedend"/>
    <w:basedOn w:val="Normal"/>
    <w:rsid w:val="0098390B"/>
    <w:pPr>
      <w:spacing w:before="100" w:beforeAutospacing="1" w:after="100" w:afterAutospacing="1"/>
    </w:pPr>
    <w:rPr>
      <w:szCs w:val="24"/>
      <w:lang w:eastAsia="es-MX"/>
    </w:rPr>
  </w:style>
  <w:style w:type="paragraph" w:styleId="Listaconvietas">
    <w:name w:val="List Bullet"/>
    <w:basedOn w:val="Normal"/>
    <w:uiPriority w:val="99"/>
    <w:unhideWhenUsed/>
    <w:rsid w:val="0098390B"/>
    <w:pPr>
      <w:numPr>
        <w:numId w:val="1"/>
      </w:numPr>
      <w:tabs>
        <w:tab w:val="clear" w:pos="360"/>
      </w:tabs>
      <w:spacing w:after="120" w:line="259" w:lineRule="auto"/>
      <w:ind w:left="0" w:firstLine="0"/>
      <w:contextualSpacing/>
      <w:jc w:val="both"/>
    </w:pPr>
    <w:rPr>
      <w:rFonts w:ascii="Aptos" w:eastAsiaTheme="minorEastAsia" w:hAnsi="Aptos" w:cstheme="minorBidi"/>
      <w:sz w:val="21"/>
      <w:szCs w:val="22"/>
      <w:lang w:val="en-US" w:eastAsia="en-US"/>
    </w:rPr>
  </w:style>
  <w:style w:type="character" w:styleId="Mencinsinresolver">
    <w:name w:val="Unresolved Mention"/>
    <w:basedOn w:val="Fuentedeprrafopredeter"/>
    <w:uiPriority w:val="99"/>
    <w:semiHidden/>
    <w:unhideWhenUsed/>
    <w:rsid w:val="0098390B"/>
    <w:rPr>
      <w:color w:val="605E5C"/>
      <w:shd w:val="clear" w:color="auto" w:fill="E1DFDD"/>
    </w:rPr>
  </w:style>
  <w:style w:type="character" w:styleId="Hipervnculovisitado">
    <w:name w:val="FollowedHyperlink"/>
    <w:basedOn w:val="Fuentedeprrafopredeter"/>
    <w:uiPriority w:val="99"/>
    <w:semiHidden/>
    <w:unhideWhenUsed/>
    <w:rsid w:val="0098390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mailto:abogadosasociadosfc@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9</Pages>
  <Words>2681</Words>
  <Characters>17777</Characters>
  <Application>Microsoft Office Word</Application>
  <DocSecurity>0</DocSecurity>
  <Lines>317</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franco castaño</dc:creator>
  <cp:keywords/>
  <dc:description/>
  <cp:lastModifiedBy>alejandro franco castaño</cp:lastModifiedBy>
  <cp:revision>1</cp:revision>
  <dcterms:created xsi:type="dcterms:W3CDTF">2026-07-27T20:21:00Z</dcterms:created>
  <dcterms:modified xsi:type="dcterms:W3CDTF">2026-07-27T20:53:00Z</dcterms:modified>
</cp:coreProperties>
</file>